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49482" w14:textId="6B1B2A9D" w:rsidR="00A7719E" w:rsidRPr="00CE0424" w:rsidRDefault="00A7719E" w:rsidP="00A7719E">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9057A9">
        <w:t>5</w:t>
      </w:r>
      <w:r>
        <w:t>-e</w:t>
      </w:r>
      <w:r w:rsidRPr="00CE0424">
        <w:tab/>
      </w:r>
      <w:proofErr w:type="spellStart"/>
      <w:r w:rsidRPr="00CE0424">
        <w:rPr>
          <w:sz w:val="32"/>
          <w:szCs w:val="32"/>
        </w:rPr>
        <w:t>Tdoc</w:t>
      </w:r>
      <w:proofErr w:type="spellEnd"/>
      <w:r w:rsidRPr="00CE0424">
        <w:rPr>
          <w:sz w:val="32"/>
          <w:szCs w:val="32"/>
        </w:rPr>
        <w:t xml:space="preserve"> </w:t>
      </w:r>
      <w:r w:rsidRPr="005D3691">
        <w:rPr>
          <w:sz w:val="32"/>
          <w:szCs w:val="32"/>
        </w:rPr>
        <w:t>R1-21</w:t>
      </w:r>
      <w:r w:rsidR="005D3691" w:rsidRPr="005D3691">
        <w:rPr>
          <w:sz w:val="32"/>
          <w:szCs w:val="32"/>
        </w:rPr>
        <w:t>04464</w:t>
      </w:r>
    </w:p>
    <w:p w14:paraId="0E22291B" w14:textId="2AA493AA" w:rsidR="00A7719E" w:rsidRPr="00CE0424" w:rsidRDefault="00A7719E" w:rsidP="00A7719E">
      <w:pPr>
        <w:pStyle w:val="3GPPHeader"/>
      </w:pPr>
      <w:r>
        <w:t>e-Meeting, 1</w:t>
      </w:r>
      <w:r w:rsidR="009057A9">
        <w:t>0</w:t>
      </w:r>
      <w:r w:rsidRPr="0083546B">
        <w:rPr>
          <w:vertAlign w:val="superscript"/>
        </w:rPr>
        <w:t>th</w:t>
      </w:r>
      <w:r>
        <w:t xml:space="preserve"> – 2</w:t>
      </w:r>
      <w:r w:rsidR="009057A9">
        <w:t>7</w:t>
      </w:r>
      <w:r w:rsidRPr="00D5130F">
        <w:rPr>
          <w:vertAlign w:val="superscript"/>
        </w:rPr>
        <w:t>th</w:t>
      </w:r>
      <w:r>
        <w:t xml:space="preserve"> </w:t>
      </w:r>
      <w:proofErr w:type="gramStart"/>
      <w:r w:rsidR="009057A9">
        <w:t>May</w:t>
      </w:r>
      <w:r>
        <w:t>,</w:t>
      </w:r>
      <w:proofErr w:type="gramEnd"/>
      <w:r>
        <w:t xml:space="preserve"> 2021</w:t>
      </w:r>
    </w:p>
    <w:p w14:paraId="6B88F825" w14:textId="77777777" w:rsidR="000D64EB" w:rsidRPr="00CE0424" w:rsidRDefault="000D64EB" w:rsidP="000D64EB">
      <w:pPr>
        <w:pStyle w:val="3GPPHeader"/>
      </w:pPr>
    </w:p>
    <w:p w14:paraId="00A49782" w14:textId="75B3DD85" w:rsidR="000D64EB" w:rsidRPr="00861622" w:rsidRDefault="000D64EB" w:rsidP="000D64EB">
      <w:pPr>
        <w:pStyle w:val="3GPPHeader"/>
        <w:rPr>
          <w:sz w:val="22"/>
        </w:rPr>
      </w:pPr>
      <w:r w:rsidRPr="00861622">
        <w:rPr>
          <w:sz w:val="22"/>
        </w:rPr>
        <w:t>Agenda Item:</w:t>
      </w:r>
      <w:r w:rsidRPr="00861622">
        <w:rPr>
          <w:sz w:val="22"/>
        </w:rPr>
        <w:tab/>
        <w:t>8.2.</w:t>
      </w:r>
      <w:r w:rsidR="007E0617">
        <w:rPr>
          <w:sz w:val="22"/>
        </w:rPr>
        <w:t>7</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2B524CC2" w:rsidR="000D64EB" w:rsidRPr="00CE0424" w:rsidRDefault="000D64EB" w:rsidP="000D64EB">
      <w:pPr>
        <w:pStyle w:val="3GPPHeader"/>
        <w:rPr>
          <w:sz w:val="22"/>
        </w:rPr>
      </w:pPr>
      <w:r>
        <w:rPr>
          <w:sz w:val="22"/>
        </w:rPr>
        <w:t>Title:</w:t>
      </w:r>
      <w:r w:rsidRPr="00CE0424">
        <w:rPr>
          <w:sz w:val="22"/>
        </w:rPr>
        <w:tab/>
      </w:r>
      <w:r w:rsidR="009057A9" w:rsidRPr="009057A9">
        <w:rPr>
          <w:sz w:val="22"/>
        </w:rPr>
        <w:t xml:space="preserve">Introduction of </w:t>
      </w:r>
      <w:bookmarkStart w:id="0" w:name="_Hlk71014366"/>
      <w:r w:rsidR="009057A9" w:rsidRPr="009057A9">
        <w:rPr>
          <w:sz w:val="22"/>
        </w:rPr>
        <w:t>the 52.6 to 71 GH</w:t>
      </w:r>
      <w:bookmarkEnd w:id="0"/>
      <w:r w:rsidR="009057A9" w:rsidRPr="009057A9">
        <w:rPr>
          <w:sz w:val="22"/>
        </w:rPr>
        <w:t>z frequency range</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075ADF29" w14:textId="51CACD7C" w:rsidR="004B12FD" w:rsidRPr="004B12FD" w:rsidRDefault="000D64EB" w:rsidP="009057A9">
      <w:pPr>
        <w:pStyle w:val="Heading1"/>
        <w:numPr>
          <w:ilvl w:val="0"/>
          <w:numId w:val="31"/>
        </w:numPr>
        <w:ind w:left="1170"/>
      </w:pPr>
      <w:r w:rsidRPr="00CE0424">
        <w:t>Introduction</w:t>
      </w:r>
    </w:p>
    <w:p w14:paraId="2AE39A77" w14:textId="3AD22DFE" w:rsidR="000D64EB" w:rsidRDefault="00E5118E" w:rsidP="00E609C8">
      <w:pPr>
        <w:pStyle w:val="BodyText"/>
      </w:pPr>
      <w:bookmarkStart w:id="1" w:name="_In-sequence_SDU_delivery"/>
      <w:bookmarkEnd w:id="1"/>
      <w:r>
        <w:t>As part of the discussion on the new frequency range</w:t>
      </w:r>
      <w:r w:rsidR="00AC5D30">
        <w:t xml:space="preserve"> </w:t>
      </w:r>
      <w:r w:rsidR="00AC5D30" w:rsidRPr="00AC5D30">
        <w:t>the 52.6 to 71 GH</w:t>
      </w:r>
      <w:r w:rsidR="00AC5D30">
        <w:t xml:space="preserve">z, RAN#91e tasked </w:t>
      </w:r>
      <w:r w:rsidR="00EF7358" w:rsidRPr="00EF7358">
        <w:t xml:space="preserve">the </w:t>
      </w:r>
      <w:r w:rsidR="00EF7358">
        <w:t xml:space="preserve">working groups to </w:t>
      </w:r>
      <w:r w:rsidR="00EF7358" w:rsidRPr="00EF7358">
        <w:t>provide recommendations on how to introduce the 52.6-71GHz frequency rang</w:t>
      </w:r>
      <w:r w:rsidR="00EF7358">
        <w:t>e. In this</w:t>
      </w:r>
      <w:r w:rsidR="00634821">
        <w:t xml:space="preserve"> contribution we provide analysis</w:t>
      </w:r>
      <w:r w:rsidR="00D65100">
        <w:t xml:space="preserve"> on </w:t>
      </w:r>
      <w:r w:rsidR="0056423F">
        <w:t>the following alternatives:</w:t>
      </w:r>
    </w:p>
    <w:p w14:paraId="2C3B4057" w14:textId="4BBE32C5" w:rsidR="0056423F" w:rsidRDefault="0056423F" w:rsidP="0056423F">
      <w:pPr>
        <w:pStyle w:val="BodyText"/>
        <w:numPr>
          <w:ilvl w:val="0"/>
          <w:numId w:val="32"/>
        </w:numPr>
      </w:pPr>
      <w:r>
        <w:t xml:space="preserve">Defining a new frequency range </w:t>
      </w:r>
      <w:r w:rsidR="007C386E">
        <w:t xml:space="preserve">for </w:t>
      </w:r>
      <w:r w:rsidR="007C386E" w:rsidRPr="007C386E">
        <w:t>52.6 to 71 GHz</w:t>
      </w:r>
    </w:p>
    <w:p w14:paraId="5AAE9E3C" w14:textId="0EE4F63B" w:rsidR="007C386E" w:rsidRDefault="007C386E" w:rsidP="0056423F">
      <w:pPr>
        <w:pStyle w:val="BodyText"/>
        <w:numPr>
          <w:ilvl w:val="0"/>
          <w:numId w:val="32"/>
        </w:numPr>
      </w:pPr>
      <w:r>
        <w:t xml:space="preserve">Extend FR2 with frequencies </w:t>
      </w:r>
      <w:r w:rsidR="00AB4CF0">
        <w:t xml:space="preserve">for </w:t>
      </w:r>
      <w:r w:rsidR="00AB4CF0" w:rsidRPr="007C386E">
        <w:t>52.6 to 71 GHz</w:t>
      </w:r>
    </w:p>
    <w:p w14:paraId="5D6F60D4" w14:textId="36BA3DA4" w:rsidR="00634821" w:rsidRDefault="00634821" w:rsidP="00634821">
      <w:pPr>
        <w:pStyle w:val="Heading1"/>
      </w:pPr>
      <w:r>
        <w:t>2</w:t>
      </w:r>
      <w:r>
        <w:tab/>
        <w:t>Discussion</w:t>
      </w:r>
    </w:p>
    <w:p w14:paraId="21DB9479" w14:textId="53595C59" w:rsidR="00634821" w:rsidRPr="005D0D46" w:rsidRDefault="00CE0338" w:rsidP="00634821">
      <w:pPr>
        <w:rPr>
          <w:rFonts w:cs="Arial"/>
          <w:szCs w:val="20"/>
          <w:lang w:val="en-GB" w:eastAsia="ja-JP"/>
        </w:rPr>
      </w:pPr>
      <w:r w:rsidRPr="005D0D46">
        <w:rPr>
          <w:rFonts w:cs="Arial"/>
          <w:szCs w:val="20"/>
          <w:lang w:val="en-GB" w:eastAsia="ja-JP"/>
        </w:rPr>
        <w:t>From RAN1</w:t>
      </w:r>
      <w:r w:rsidR="00D65100" w:rsidRPr="005D0D46">
        <w:rPr>
          <w:rFonts w:cs="Arial"/>
          <w:szCs w:val="20"/>
          <w:lang w:val="en-GB" w:eastAsia="ja-JP"/>
        </w:rPr>
        <w:t>’s</w:t>
      </w:r>
      <w:r w:rsidRPr="005D0D46">
        <w:rPr>
          <w:rFonts w:cs="Arial"/>
          <w:szCs w:val="20"/>
          <w:lang w:val="en-GB" w:eastAsia="ja-JP"/>
        </w:rPr>
        <w:t xml:space="preserve"> perspective</w:t>
      </w:r>
      <w:r w:rsidR="00D65100" w:rsidRPr="005D0D46">
        <w:rPr>
          <w:rFonts w:cs="Arial"/>
          <w:szCs w:val="20"/>
          <w:lang w:val="en-GB" w:eastAsia="ja-JP"/>
        </w:rPr>
        <w:t xml:space="preserve">, the following impacts of </w:t>
      </w:r>
      <w:r w:rsidR="00CC53AE" w:rsidRPr="005D0D46">
        <w:rPr>
          <w:rFonts w:cs="Arial"/>
          <w:szCs w:val="20"/>
          <w:lang w:val="en-GB" w:eastAsia="ja-JP"/>
        </w:rPr>
        <w:t>the choice when it comes to frequency range should be addressed:</w:t>
      </w:r>
    </w:p>
    <w:p w14:paraId="263899B3" w14:textId="669A98CB" w:rsidR="00CC53AE" w:rsidRDefault="005D0D46" w:rsidP="00CC53AE">
      <w:pPr>
        <w:pStyle w:val="ListParagraph"/>
        <w:numPr>
          <w:ilvl w:val="0"/>
          <w:numId w:val="33"/>
        </w:numPr>
        <w:rPr>
          <w:rFonts w:ascii="Arial" w:hAnsi="Arial" w:cs="Arial"/>
          <w:sz w:val="20"/>
          <w:szCs w:val="20"/>
          <w:lang w:val="en-GB" w:eastAsia="ja-JP"/>
        </w:rPr>
      </w:pPr>
      <w:r w:rsidRPr="005D0D46">
        <w:rPr>
          <w:rFonts w:ascii="Arial" w:hAnsi="Arial" w:cs="Arial"/>
          <w:sz w:val="20"/>
          <w:szCs w:val="20"/>
          <w:lang w:val="en-GB" w:eastAsia="ja-JP"/>
        </w:rPr>
        <w:t xml:space="preserve">Impacts </w:t>
      </w:r>
      <w:r>
        <w:rPr>
          <w:rFonts w:ascii="Arial" w:hAnsi="Arial" w:cs="Arial"/>
          <w:sz w:val="20"/>
          <w:szCs w:val="20"/>
          <w:lang w:val="en-GB" w:eastAsia="ja-JP"/>
        </w:rPr>
        <w:t>to RAN1 specifications</w:t>
      </w:r>
    </w:p>
    <w:p w14:paraId="53E48FDE" w14:textId="6F62A56E" w:rsidR="005D0D46" w:rsidRPr="005D0D46" w:rsidRDefault="005D0D46" w:rsidP="00CC53AE">
      <w:pPr>
        <w:pStyle w:val="ListParagraph"/>
        <w:numPr>
          <w:ilvl w:val="0"/>
          <w:numId w:val="33"/>
        </w:numPr>
        <w:rPr>
          <w:rFonts w:ascii="Arial" w:hAnsi="Arial" w:cs="Arial"/>
          <w:sz w:val="20"/>
          <w:szCs w:val="20"/>
          <w:lang w:val="en-GB" w:eastAsia="ja-JP"/>
        </w:rPr>
      </w:pPr>
      <w:r>
        <w:rPr>
          <w:rFonts w:ascii="Arial" w:hAnsi="Arial" w:cs="Arial"/>
          <w:sz w:val="20"/>
          <w:szCs w:val="20"/>
          <w:lang w:val="en-GB" w:eastAsia="ja-JP"/>
        </w:rPr>
        <w:t>Impacts to RAN1-defined UE capabilities</w:t>
      </w:r>
    </w:p>
    <w:p w14:paraId="6CE461A8" w14:textId="10834B84" w:rsidR="00AB4CF0" w:rsidRPr="005D0D46" w:rsidRDefault="00AB4CF0" w:rsidP="00634821">
      <w:pPr>
        <w:rPr>
          <w:rFonts w:cs="Arial"/>
          <w:szCs w:val="20"/>
          <w:lang w:val="en-GB" w:eastAsia="ja-JP"/>
        </w:rPr>
      </w:pPr>
    </w:p>
    <w:p w14:paraId="42E913F3" w14:textId="36AAA543" w:rsidR="00391E1D" w:rsidRDefault="00EA7C43" w:rsidP="00634821">
      <w:r>
        <w:rPr>
          <w:rFonts w:cs="Arial"/>
          <w:szCs w:val="20"/>
          <w:lang w:val="en-GB" w:eastAsia="ja-JP"/>
        </w:rPr>
        <w:t xml:space="preserve">It should be emphasized that the WID already states that </w:t>
      </w:r>
      <w:r w:rsidR="00016278">
        <w:rPr>
          <w:rFonts w:cs="Arial"/>
          <w:szCs w:val="20"/>
          <w:lang w:val="en-GB" w:eastAsia="ja-JP"/>
        </w:rPr>
        <w:t xml:space="preserve">the design for the frequency range </w:t>
      </w:r>
      <w:r w:rsidR="00016278" w:rsidRPr="00AC5D30">
        <w:t>52.6 to 71 GH</w:t>
      </w:r>
      <w:r w:rsidR="00016278">
        <w:t>z</w:t>
      </w:r>
      <w:r w:rsidR="00C94BB2">
        <w:rPr>
          <w:rFonts w:cs="Arial"/>
          <w:szCs w:val="20"/>
          <w:lang w:val="en-GB" w:eastAsia="ja-JP"/>
        </w:rPr>
        <w:t xml:space="preserve"> should </w:t>
      </w:r>
      <w:r w:rsidR="00016278" w:rsidRPr="00016278">
        <w:rPr>
          <w:rFonts w:cs="Arial"/>
          <w:szCs w:val="20"/>
          <w:lang w:val="en-GB" w:eastAsia="ja-JP"/>
        </w:rPr>
        <w:t>leverag</w:t>
      </w:r>
      <w:r w:rsidR="00C94BB2">
        <w:rPr>
          <w:rFonts w:cs="Arial"/>
          <w:szCs w:val="20"/>
          <w:lang w:val="en-GB" w:eastAsia="ja-JP"/>
        </w:rPr>
        <w:t xml:space="preserve">e the already existing </w:t>
      </w:r>
      <w:r w:rsidR="00016278" w:rsidRPr="00016278">
        <w:rPr>
          <w:rFonts w:cs="Arial"/>
          <w:szCs w:val="20"/>
          <w:lang w:val="en-GB" w:eastAsia="ja-JP"/>
        </w:rPr>
        <w:t>FR2 design</w:t>
      </w:r>
      <w:r w:rsidR="00122F07">
        <w:rPr>
          <w:rFonts w:cs="Arial"/>
          <w:szCs w:val="20"/>
          <w:lang w:val="en-GB" w:eastAsia="ja-JP"/>
        </w:rPr>
        <w:t xml:space="preserve">. Hence the </w:t>
      </w:r>
      <w:r w:rsidR="00786869">
        <w:rPr>
          <w:rFonts w:cs="Arial"/>
          <w:szCs w:val="20"/>
          <w:lang w:val="en-GB" w:eastAsia="ja-JP"/>
        </w:rPr>
        <w:t xml:space="preserve">starting point should be that the FR2 functionality applies also to the frequency range of </w:t>
      </w:r>
      <w:r w:rsidR="00786869" w:rsidRPr="00AC5D30">
        <w:t>52.6 to 71 GH</w:t>
      </w:r>
      <w:r w:rsidR="00786869">
        <w:t xml:space="preserve">z and </w:t>
      </w:r>
      <w:r w:rsidR="00391E1D">
        <w:t xml:space="preserve">any </w:t>
      </w:r>
      <w:r w:rsidR="00E22A49">
        <w:t>exceptions</w:t>
      </w:r>
      <w:r w:rsidR="00391E1D">
        <w:t xml:space="preserve"> should be limited. </w:t>
      </w:r>
      <w:r w:rsidR="002C35CD">
        <w:t xml:space="preserve">Keeping the </w:t>
      </w:r>
      <w:proofErr w:type="gramStart"/>
      <w:r w:rsidR="00BE4E92">
        <w:t>functionality</w:t>
      </w:r>
      <w:proofErr w:type="gramEnd"/>
      <w:r w:rsidR="002C35CD">
        <w:t xml:space="preserve"> the </w:t>
      </w:r>
      <w:r w:rsidR="00271E65">
        <w:t xml:space="preserve">same </w:t>
      </w:r>
      <w:r w:rsidR="00BE4E92">
        <w:t xml:space="preserve">in the full frequency range </w:t>
      </w:r>
      <w:r w:rsidR="00271E65">
        <w:t>is also beneficial for the ecosystem.</w:t>
      </w:r>
    </w:p>
    <w:p w14:paraId="1746765B" w14:textId="35E16781" w:rsidR="00391E1D" w:rsidRDefault="00FF2CDF" w:rsidP="00391E1D">
      <w:pPr>
        <w:pStyle w:val="Observation"/>
      </w:pPr>
      <w:bookmarkStart w:id="2" w:name="_Toc71018203"/>
      <w:bookmarkStart w:id="3" w:name="_Toc71018402"/>
      <w:bookmarkStart w:id="4" w:name="_Toc71555324"/>
      <w:bookmarkStart w:id="5" w:name="_Toc71627871"/>
      <w:r>
        <w:t>Based on the WID, the s</w:t>
      </w:r>
      <w:r w:rsidR="00391E1D">
        <w:t xml:space="preserve">tarting point is that the same functionality applies to FR2 and </w:t>
      </w:r>
      <w:r w:rsidR="00391E1D" w:rsidRPr="00391E1D">
        <w:t>the frequency range of 52.6 to 71 GHz</w:t>
      </w:r>
      <w:bookmarkEnd w:id="2"/>
      <w:bookmarkEnd w:id="3"/>
      <w:bookmarkEnd w:id="4"/>
      <w:bookmarkEnd w:id="5"/>
    </w:p>
    <w:p w14:paraId="17F4D21C" w14:textId="6EDBE676" w:rsidR="00AB4CF0" w:rsidRPr="005D0D46" w:rsidRDefault="00AB4CF0" w:rsidP="00634821">
      <w:pPr>
        <w:rPr>
          <w:rFonts w:cs="Arial"/>
          <w:szCs w:val="20"/>
          <w:lang w:val="en-GB" w:eastAsia="ja-JP"/>
        </w:rPr>
      </w:pPr>
      <w:r w:rsidRPr="005D0D46">
        <w:rPr>
          <w:rFonts w:cs="Arial"/>
          <w:szCs w:val="20"/>
          <w:lang w:val="en-GB" w:eastAsia="ja-JP"/>
        </w:rPr>
        <w:t xml:space="preserve">In the following we discuss the </w:t>
      </w:r>
      <w:r w:rsidR="00391E1D">
        <w:rPr>
          <w:rFonts w:cs="Arial"/>
          <w:szCs w:val="20"/>
          <w:lang w:val="en-GB" w:eastAsia="ja-JP"/>
        </w:rPr>
        <w:t xml:space="preserve">above listed </w:t>
      </w:r>
      <w:r w:rsidRPr="005D0D46">
        <w:rPr>
          <w:rFonts w:cs="Arial"/>
          <w:szCs w:val="20"/>
          <w:lang w:val="en-GB" w:eastAsia="ja-JP"/>
        </w:rPr>
        <w:t>impacts</w:t>
      </w:r>
      <w:r w:rsidR="00C94BB2">
        <w:rPr>
          <w:rFonts w:cs="Arial"/>
          <w:szCs w:val="20"/>
          <w:lang w:val="en-GB" w:eastAsia="ja-JP"/>
        </w:rPr>
        <w:t>.</w:t>
      </w:r>
    </w:p>
    <w:p w14:paraId="6AC56028" w14:textId="76B94877" w:rsidR="00634821" w:rsidRDefault="00A734F9" w:rsidP="00A734F9">
      <w:pPr>
        <w:pStyle w:val="Heading2"/>
      </w:pPr>
      <w:r>
        <w:t>2.1</w:t>
      </w:r>
      <w:r>
        <w:tab/>
      </w:r>
      <w:r w:rsidRPr="00A734F9">
        <w:t>Impacts to RAN1 specifications</w:t>
      </w:r>
    </w:p>
    <w:p w14:paraId="75E279E2" w14:textId="77777777" w:rsidR="001B2C61" w:rsidRDefault="00A734F9" w:rsidP="00A734F9">
      <w:pPr>
        <w:rPr>
          <w:lang w:val="en-GB" w:eastAsia="ja-JP"/>
        </w:rPr>
      </w:pPr>
      <w:r>
        <w:rPr>
          <w:lang w:val="en-GB" w:eastAsia="ja-JP"/>
        </w:rPr>
        <w:t xml:space="preserve">In general, the </w:t>
      </w:r>
      <w:r w:rsidR="003C6BA1">
        <w:rPr>
          <w:lang w:val="en-GB" w:eastAsia="ja-JP"/>
        </w:rPr>
        <w:t>RAN1 specification have been written in a frequency agnostic way and only when needed</w:t>
      </w:r>
      <w:r w:rsidR="00E85254">
        <w:rPr>
          <w:lang w:val="en-GB" w:eastAsia="ja-JP"/>
        </w:rPr>
        <w:t xml:space="preserve">, different functionality was </w:t>
      </w:r>
      <w:r w:rsidR="00BF29BF">
        <w:rPr>
          <w:lang w:val="en-GB" w:eastAsia="ja-JP"/>
        </w:rPr>
        <w:t>specified</w:t>
      </w:r>
      <w:r w:rsidR="00E85254">
        <w:rPr>
          <w:lang w:val="en-GB" w:eastAsia="ja-JP"/>
        </w:rPr>
        <w:t>.</w:t>
      </w:r>
    </w:p>
    <w:p w14:paraId="7C16D418" w14:textId="267512FA" w:rsidR="007656DD" w:rsidRDefault="007A5E96" w:rsidP="00A734F9">
      <w:pPr>
        <w:rPr>
          <w:lang w:val="en-GB" w:eastAsia="ja-JP"/>
        </w:rPr>
      </w:pPr>
      <w:r>
        <w:rPr>
          <w:lang w:val="en-GB" w:eastAsia="ja-JP"/>
        </w:rPr>
        <w:t>Where different functionality has been specified, it has mainly to do with resource grid definitions</w:t>
      </w:r>
      <w:r w:rsidR="00F61D6E">
        <w:rPr>
          <w:lang w:val="en-GB" w:eastAsia="ja-JP"/>
        </w:rPr>
        <w:t xml:space="preserve">, </w:t>
      </w:r>
      <w:r>
        <w:rPr>
          <w:lang w:val="en-GB" w:eastAsia="ja-JP"/>
        </w:rPr>
        <w:t xml:space="preserve">functionality </w:t>
      </w:r>
      <w:r w:rsidR="00093970">
        <w:rPr>
          <w:lang w:val="en-GB" w:eastAsia="ja-JP"/>
        </w:rPr>
        <w:t xml:space="preserve">related to </w:t>
      </w:r>
      <w:r w:rsidR="00EF2C5F">
        <w:rPr>
          <w:lang w:val="en-GB" w:eastAsia="ja-JP"/>
        </w:rPr>
        <w:t>initial access</w:t>
      </w:r>
      <w:r w:rsidR="00F61D6E">
        <w:rPr>
          <w:lang w:val="en-GB" w:eastAsia="ja-JP"/>
        </w:rPr>
        <w:t xml:space="preserve"> and NR-DC</w:t>
      </w:r>
      <w:r w:rsidR="00093970">
        <w:rPr>
          <w:lang w:val="en-GB" w:eastAsia="ja-JP"/>
        </w:rPr>
        <w:t>. This means that the impacted specification</w:t>
      </w:r>
      <w:r w:rsidR="00EF2C5F">
        <w:rPr>
          <w:lang w:val="en-GB" w:eastAsia="ja-JP"/>
        </w:rPr>
        <w:t>s</w:t>
      </w:r>
      <w:r w:rsidR="00093970">
        <w:rPr>
          <w:lang w:val="en-GB" w:eastAsia="ja-JP"/>
        </w:rPr>
        <w:t xml:space="preserve"> are 38.211 </w:t>
      </w:r>
      <w:r w:rsidR="00F37711">
        <w:rPr>
          <w:lang w:val="en-GB" w:eastAsia="ja-JP"/>
        </w:rPr>
        <w:t>and 38.213 with most differences found in the latter.</w:t>
      </w:r>
      <w:r w:rsidR="00E0589B">
        <w:rPr>
          <w:lang w:val="en-GB" w:eastAsia="ja-JP"/>
        </w:rPr>
        <w:t xml:space="preserve"> </w:t>
      </w:r>
      <w:r w:rsidR="00D511F6">
        <w:rPr>
          <w:lang w:val="en-GB" w:eastAsia="ja-JP"/>
        </w:rPr>
        <w:t xml:space="preserve">Based on </w:t>
      </w:r>
      <w:r w:rsidR="00C91D3E">
        <w:rPr>
          <w:lang w:val="en-GB" w:eastAsia="ja-JP"/>
        </w:rPr>
        <w:t xml:space="preserve">the goal to </w:t>
      </w:r>
      <w:r w:rsidR="00727D68">
        <w:rPr>
          <w:lang w:val="en-GB" w:eastAsia="ja-JP"/>
        </w:rPr>
        <w:t>strive for com</w:t>
      </w:r>
      <w:r w:rsidR="002020BD">
        <w:rPr>
          <w:lang w:val="en-GB" w:eastAsia="ja-JP"/>
        </w:rPr>
        <w:t>monality</w:t>
      </w:r>
      <w:r w:rsidR="00C91D3E">
        <w:rPr>
          <w:lang w:val="en-GB" w:eastAsia="ja-JP"/>
        </w:rPr>
        <w:t xml:space="preserve">, it assumed that most </w:t>
      </w:r>
      <w:r w:rsidR="00727D68">
        <w:rPr>
          <w:lang w:val="en-GB" w:eastAsia="ja-JP"/>
        </w:rPr>
        <w:t xml:space="preserve">FR2 </w:t>
      </w:r>
      <w:r w:rsidR="00C91D3E">
        <w:rPr>
          <w:lang w:val="en-GB" w:eastAsia="ja-JP"/>
        </w:rPr>
        <w:t>functionality</w:t>
      </w:r>
      <w:r w:rsidR="00727D68">
        <w:rPr>
          <w:lang w:val="en-GB" w:eastAsia="ja-JP"/>
        </w:rPr>
        <w:t xml:space="preserve"> will also be applicable to </w:t>
      </w:r>
      <w:r w:rsidR="00727D68" w:rsidRPr="00727D68">
        <w:rPr>
          <w:lang w:val="en-GB" w:eastAsia="ja-JP"/>
        </w:rPr>
        <w:t>the frequency range of 52.6 to 71 GHz</w:t>
      </w:r>
      <w:r w:rsidR="00727D68">
        <w:rPr>
          <w:lang w:val="en-GB" w:eastAsia="ja-JP"/>
        </w:rPr>
        <w:t>.</w:t>
      </w:r>
    </w:p>
    <w:p w14:paraId="60B23B06" w14:textId="061C2974" w:rsidR="002020BD" w:rsidRDefault="002020BD" w:rsidP="002020BD">
      <w:pPr>
        <w:pStyle w:val="Observation"/>
        <w:rPr>
          <w:lang w:val="en-GB"/>
        </w:rPr>
      </w:pPr>
      <w:bookmarkStart w:id="6" w:name="_Toc71018204"/>
      <w:bookmarkStart w:id="7" w:name="_Toc71018403"/>
      <w:bookmarkStart w:id="8" w:name="_Toc71555325"/>
      <w:bookmarkStart w:id="9" w:name="_Toc71627872"/>
      <w:r>
        <w:rPr>
          <w:lang w:val="en-GB"/>
        </w:rPr>
        <w:t xml:space="preserve">Most FR2 functionality will be applicable </w:t>
      </w:r>
      <w:r w:rsidR="000728DD">
        <w:rPr>
          <w:lang w:val="en-GB"/>
        </w:rPr>
        <w:t xml:space="preserve">also </w:t>
      </w:r>
      <w:r>
        <w:rPr>
          <w:lang w:val="en-GB"/>
        </w:rPr>
        <w:t xml:space="preserve">to </w:t>
      </w:r>
      <w:r w:rsidRPr="00727D68">
        <w:rPr>
          <w:lang w:val="en-GB"/>
        </w:rPr>
        <w:t>the frequency range of 52.6 to 71 GHz</w:t>
      </w:r>
      <w:r>
        <w:rPr>
          <w:lang w:val="en-GB"/>
        </w:rPr>
        <w:t>.</w:t>
      </w:r>
      <w:bookmarkEnd w:id="6"/>
      <w:bookmarkEnd w:id="7"/>
      <w:bookmarkEnd w:id="8"/>
      <w:bookmarkEnd w:id="9"/>
    </w:p>
    <w:p w14:paraId="3D1DE1DC" w14:textId="2A9E412B" w:rsidR="00A734F9" w:rsidRDefault="002D3565" w:rsidP="00A734F9">
      <w:pPr>
        <w:rPr>
          <w:lang w:val="en-GB" w:eastAsia="ja-JP"/>
        </w:rPr>
      </w:pPr>
      <w:r>
        <w:rPr>
          <w:lang w:val="en-GB" w:eastAsia="ja-JP"/>
        </w:rPr>
        <w:lastRenderedPageBreak/>
        <w:t xml:space="preserve">The main changes expected </w:t>
      </w:r>
      <w:bookmarkStart w:id="10" w:name="_Hlk71016297"/>
      <w:r>
        <w:rPr>
          <w:lang w:val="en-GB" w:eastAsia="ja-JP"/>
        </w:rPr>
        <w:t xml:space="preserve">from </w:t>
      </w:r>
      <w:r w:rsidRPr="002D3565">
        <w:rPr>
          <w:lang w:val="en-GB" w:eastAsia="ja-JP"/>
        </w:rPr>
        <w:t>frequency range 52.6 to 71 GHz</w:t>
      </w:r>
      <w:r w:rsidR="007656DD">
        <w:rPr>
          <w:lang w:val="en-GB" w:eastAsia="ja-JP"/>
        </w:rPr>
        <w:t xml:space="preserve"> </w:t>
      </w:r>
      <w:bookmarkEnd w:id="10"/>
      <w:r w:rsidR="007656DD">
        <w:rPr>
          <w:lang w:val="en-GB" w:eastAsia="ja-JP"/>
        </w:rPr>
        <w:t>are related</w:t>
      </w:r>
      <w:r w:rsidRPr="002D3565">
        <w:rPr>
          <w:lang w:val="en-GB" w:eastAsia="ja-JP"/>
        </w:rPr>
        <w:t xml:space="preserve"> </w:t>
      </w:r>
      <w:r w:rsidR="007656DD">
        <w:rPr>
          <w:lang w:val="en-GB" w:eastAsia="ja-JP"/>
        </w:rPr>
        <w:t xml:space="preserve">to initial access and a way of distinguishing </w:t>
      </w:r>
      <w:r w:rsidR="00966C88">
        <w:rPr>
          <w:lang w:val="en-GB" w:eastAsia="ja-JP"/>
        </w:rPr>
        <w:t>this new functionality is needed</w:t>
      </w:r>
      <w:r w:rsidR="00C95F6A">
        <w:rPr>
          <w:lang w:val="en-GB" w:eastAsia="ja-JP"/>
        </w:rPr>
        <w:t>.</w:t>
      </w:r>
      <w:r w:rsidR="00660C34">
        <w:rPr>
          <w:lang w:val="en-GB" w:eastAsia="ja-JP"/>
        </w:rPr>
        <w:t xml:space="preserve"> However, creating a new FR </w:t>
      </w:r>
      <w:r w:rsidR="00A33E57">
        <w:rPr>
          <w:lang w:val="en-GB" w:eastAsia="ja-JP"/>
        </w:rPr>
        <w:t xml:space="preserve">just for this purpose </w:t>
      </w:r>
      <w:r w:rsidR="00660C34">
        <w:rPr>
          <w:lang w:val="en-GB" w:eastAsia="ja-JP"/>
        </w:rPr>
        <w:t xml:space="preserve">has much wider </w:t>
      </w:r>
      <w:r w:rsidR="0055377F">
        <w:rPr>
          <w:lang w:val="en-GB" w:eastAsia="ja-JP"/>
        </w:rPr>
        <w:t>implications, also to the RAN1 specifications</w:t>
      </w:r>
      <w:r w:rsidR="00BC7778">
        <w:rPr>
          <w:lang w:val="en-GB" w:eastAsia="ja-JP"/>
        </w:rPr>
        <w:t>.</w:t>
      </w:r>
      <w:r w:rsidR="00A33E57">
        <w:rPr>
          <w:lang w:val="en-GB" w:eastAsia="ja-JP"/>
        </w:rPr>
        <w:t xml:space="preserve"> </w:t>
      </w:r>
      <w:r w:rsidR="00B96CD8">
        <w:rPr>
          <w:lang w:val="en-GB" w:eastAsia="ja-JP"/>
        </w:rPr>
        <w:t xml:space="preserve">A better way </w:t>
      </w:r>
      <w:r w:rsidR="00E4201A">
        <w:rPr>
          <w:lang w:val="en-GB" w:eastAsia="ja-JP"/>
        </w:rPr>
        <w:t>is to tie the new functionality to the new band(s)</w:t>
      </w:r>
      <w:r w:rsidR="001E2448">
        <w:rPr>
          <w:lang w:val="en-GB" w:eastAsia="ja-JP"/>
        </w:rPr>
        <w:t xml:space="preserve">. For band-specific functionality, </w:t>
      </w:r>
      <w:r w:rsidR="00474E2F">
        <w:rPr>
          <w:lang w:val="en-GB" w:eastAsia="ja-JP"/>
        </w:rPr>
        <w:t xml:space="preserve">the RAN1 specification could </w:t>
      </w:r>
      <w:r w:rsidR="005B5BC0">
        <w:rPr>
          <w:lang w:val="en-GB" w:eastAsia="ja-JP"/>
        </w:rPr>
        <w:t xml:space="preserve">specify the functionality, but which bands different functionality belongs to could be included in </w:t>
      </w:r>
      <w:r w:rsidR="00E4201A">
        <w:rPr>
          <w:lang w:val="en-GB" w:eastAsia="ja-JP"/>
        </w:rPr>
        <w:t xml:space="preserve">RAN4 specifications </w:t>
      </w:r>
      <w:r w:rsidR="005B5BC0">
        <w:rPr>
          <w:lang w:val="en-GB" w:eastAsia="ja-JP"/>
        </w:rPr>
        <w:t xml:space="preserve">to keep the RAN1 specifications band agnostic. </w:t>
      </w:r>
      <w:r w:rsidR="004311C7">
        <w:rPr>
          <w:lang w:val="en-GB" w:eastAsia="ja-JP"/>
        </w:rPr>
        <w:t>An already existing example</w:t>
      </w:r>
      <w:r w:rsidR="00E948D9">
        <w:rPr>
          <w:lang w:val="en-GB" w:eastAsia="ja-JP"/>
        </w:rPr>
        <w:t xml:space="preserve"> </w:t>
      </w:r>
      <w:r w:rsidR="005B5BC0">
        <w:rPr>
          <w:lang w:val="en-GB" w:eastAsia="ja-JP"/>
        </w:rPr>
        <w:t xml:space="preserve">of such </w:t>
      </w:r>
      <w:r w:rsidR="00E948D9">
        <w:rPr>
          <w:lang w:val="en-GB" w:eastAsia="ja-JP"/>
        </w:rPr>
        <w:t xml:space="preserve">is the </w:t>
      </w:r>
      <w:r w:rsidR="00074A58" w:rsidRPr="00074A58">
        <w:rPr>
          <w:lang w:val="en-GB" w:eastAsia="ja-JP"/>
        </w:rPr>
        <w:t>SS Block pattern</w:t>
      </w:r>
      <w:r w:rsidR="000A327E">
        <w:rPr>
          <w:lang w:val="en-GB" w:eastAsia="ja-JP"/>
        </w:rPr>
        <w:t xml:space="preserve"> </w:t>
      </w:r>
      <w:r w:rsidR="005B5BC0">
        <w:rPr>
          <w:lang w:val="en-GB" w:eastAsia="ja-JP"/>
        </w:rPr>
        <w:t xml:space="preserve">which are defined in </w:t>
      </w:r>
      <w:r w:rsidR="000535B0">
        <w:rPr>
          <w:lang w:val="en-GB" w:eastAsia="ja-JP"/>
        </w:rPr>
        <w:t xml:space="preserve">38.213, while </w:t>
      </w:r>
      <w:r w:rsidR="007B29D4">
        <w:rPr>
          <w:lang w:val="en-GB" w:eastAsia="ja-JP"/>
        </w:rPr>
        <w:t xml:space="preserve">the </w:t>
      </w:r>
      <w:r w:rsidR="000535B0">
        <w:rPr>
          <w:lang w:val="en-GB" w:eastAsia="ja-JP"/>
        </w:rPr>
        <w:t>pattern</w:t>
      </w:r>
      <w:r w:rsidR="007B29D4">
        <w:rPr>
          <w:lang w:val="en-GB" w:eastAsia="ja-JP"/>
        </w:rPr>
        <w:t>s</w:t>
      </w:r>
      <w:r w:rsidR="000535B0">
        <w:rPr>
          <w:lang w:val="en-GB" w:eastAsia="ja-JP"/>
        </w:rPr>
        <w:t xml:space="preserve"> </w:t>
      </w:r>
      <w:r w:rsidR="007B29D4">
        <w:rPr>
          <w:lang w:val="en-GB" w:eastAsia="ja-JP"/>
        </w:rPr>
        <w:t xml:space="preserve">that are appliable </w:t>
      </w:r>
      <w:r w:rsidR="000535B0">
        <w:rPr>
          <w:lang w:val="en-GB" w:eastAsia="ja-JP"/>
        </w:rPr>
        <w:t xml:space="preserve">in a given band </w:t>
      </w:r>
      <w:r w:rsidR="007B29D4">
        <w:rPr>
          <w:lang w:val="en-GB" w:eastAsia="ja-JP"/>
        </w:rPr>
        <w:t xml:space="preserve">are given by 38.101-2 for FR2 </w:t>
      </w:r>
      <w:r w:rsidR="007B29D4" w:rsidRPr="007453CA">
        <w:rPr>
          <w:lang w:val="en-GB" w:eastAsia="ja-JP"/>
        </w:rPr>
        <w:t>(</w:t>
      </w:r>
      <w:r w:rsidR="007453CA" w:rsidRPr="007453CA">
        <w:rPr>
          <w:szCs w:val="20"/>
        </w:rPr>
        <w:t>Table 5.4.3.3-1</w:t>
      </w:r>
      <w:r w:rsidR="007B29D4">
        <w:rPr>
          <w:lang w:val="en-GB" w:eastAsia="ja-JP"/>
        </w:rPr>
        <w:t>).</w:t>
      </w:r>
      <w:r w:rsidR="00E948D9">
        <w:rPr>
          <w:lang w:val="en-GB" w:eastAsia="ja-JP"/>
        </w:rPr>
        <w:t xml:space="preserve"> </w:t>
      </w:r>
    </w:p>
    <w:p w14:paraId="38B0A43C" w14:textId="39B96B2C" w:rsidR="002020BD" w:rsidRDefault="0083689C" w:rsidP="002020BD">
      <w:pPr>
        <w:pStyle w:val="Observation"/>
      </w:pPr>
      <w:bookmarkStart w:id="11" w:name="_Toc71018205"/>
      <w:bookmarkStart w:id="12" w:name="_Toc71018404"/>
      <w:bookmarkStart w:id="13" w:name="_Toc71555326"/>
      <w:bookmarkStart w:id="14" w:name="_Toc71627873"/>
      <w:r>
        <w:t xml:space="preserve">It needs to be possible to </w:t>
      </w:r>
      <w:r w:rsidR="00B96CD8">
        <w:t xml:space="preserve">limit </w:t>
      </w:r>
      <w:r>
        <w:t xml:space="preserve">some new functionality as only applicable to the </w:t>
      </w:r>
      <w:r w:rsidRPr="0083689C">
        <w:t>frequency range 52.6 to 71 GHz</w:t>
      </w:r>
      <w:r w:rsidR="00FA4F7E">
        <w:t xml:space="preserve">. Such limitations can be </w:t>
      </w:r>
      <w:r w:rsidR="007E6F83">
        <w:t xml:space="preserve">captured in RAN4 specifications and </w:t>
      </w:r>
      <w:r w:rsidR="00FA4F7E">
        <w:t>tied to the frequency band</w:t>
      </w:r>
      <w:r w:rsidR="007E6F83">
        <w:t>;</w:t>
      </w:r>
      <w:r w:rsidR="00FA4F7E">
        <w:t xml:space="preserve"> </w:t>
      </w:r>
      <w:r w:rsidRPr="0083689C">
        <w:t xml:space="preserve">defining a new </w:t>
      </w:r>
      <w:r>
        <w:t>FR</w:t>
      </w:r>
      <w:bookmarkEnd w:id="11"/>
      <w:bookmarkEnd w:id="12"/>
      <w:r w:rsidR="00E4201A">
        <w:t xml:space="preserve"> is not warranted for this reason</w:t>
      </w:r>
      <w:r w:rsidR="007E6F83">
        <w:t>.</w:t>
      </w:r>
      <w:bookmarkEnd w:id="13"/>
      <w:bookmarkEnd w:id="14"/>
    </w:p>
    <w:p w14:paraId="1192B83F" w14:textId="659BF433" w:rsidR="00A734F9" w:rsidRDefault="00A734F9" w:rsidP="00A734F9">
      <w:pPr>
        <w:pStyle w:val="Heading2"/>
      </w:pPr>
      <w:r>
        <w:t>2.2</w:t>
      </w:r>
      <w:r>
        <w:tab/>
      </w:r>
      <w:r w:rsidRPr="00A734F9">
        <w:t>Impacts to RAN1-defined UE capabilities</w:t>
      </w:r>
    </w:p>
    <w:p w14:paraId="2AF4334D" w14:textId="2CBDA5CC" w:rsidR="00A734F9" w:rsidRDefault="00334E94" w:rsidP="00A734F9">
      <w:pPr>
        <w:rPr>
          <w:lang w:val="en-GB" w:eastAsia="ja-JP"/>
        </w:rPr>
      </w:pPr>
      <w:r>
        <w:rPr>
          <w:lang w:val="en-GB" w:eastAsia="ja-JP"/>
        </w:rPr>
        <w:t xml:space="preserve">RAN1 has defined through the previous NR releases defined many UE </w:t>
      </w:r>
      <w:r w:rsidR="00176D01">
        <w:rPr>
          <w:lang w:val="en-GB" w:eastAsia="ja-JP"/>
        </w:rPr>
        <w:t>capabilities</w:t>
      </w:r>
      <w:r w:rsidR="00901B3C">
        <w:rPr>
          <w:lang w:val="en-GB" w:eastAsia="ja-JP"/>
        </w:rPr>
        <w:t xml:space="preserve">, some of which are specific to FR2 </w:t>
      </w:r>
      <w:r w:rsidR="00176D01">
        <w:rPr>
          <w:lang w:val="en-GB" w:eastAsia="ja-JP"/>
        </w:rPr>
        <w:t>or</w:t>
      </w:r>
      <w:r w:rsidR="00901B3C">
        <w:rPr>
          <w:lang w:val="en-GB" w:eastAsia="ja-JP"/>
        </w:rPr>
        <w:t xml:space="preserve"> </w:t>
      </w:r>
      <w:r w:rsidR="00176D01">
        <w:rPr>
          <w:lang w:val="en-GB" w:eastAsia="ja-JP"/>
        </w:rPr>
        <w:t xml:space="preserve">might contain FR-dependent </w:t>
      </w:r>
      <w:r w:rsidR="00C40DD9">
        <w:rPr>
          <w:lang w:val="en-GB" w:eastAsia="ja-JP"/>
        </w:rPr>
        <w:t>signalling</w:t>
      </w:r>
      <w:r w:rsidR="00176D01">
        <w:rPr>
          <w:lang w:val="en-GB" w:eastAsia="ja-JP"/>
        </w:rPr>
        <w:t xml:space="preserve"> values. </w:t>
      </w:r>
    </w:p>
    <w:p w14:paraId="03BA78C6" w14:textId="690AA817" w:rsidR="00176D01" w:rsidRDefault="00176D01" w:rsidP="00A734F9">
      <w:pPr>
        <w:rPr>
          <w:lang w:val="en-GB" w:eastAsia="ja-JP"/>
        </w:rPr>
      </w:pPr>
      <w:r>
        <w:rPr>
          <w:lang w:val="en-GB" w:eastAsia="ja-JP"/>
        </w:rPr>
        <w:t xml:space="preserve">The discussion has been that </w:t>
      </w:r>
      <w:r w:rsidR="001726ED">
        <w:rPr>
          <w:lang w:val="en-GB" w:eastAsia="ja-JP"/>
        </w:rPr>
        <w:t xml:space="preserve">if FR2 is extended, RAN1 needs to go through these to </w:t>
      </w:r>
      <w:r w:rsidR="0010216B">
        <w:rPr>
          <w:lang w:val="en-GB" w:eastAsia="ja-JP"/>
        </w:rPr>
        <w:t xml:space="preserve">make sure they are applicable </w:t>
      </w:r>
      <w:r w:rsidR="00F248DC">
        <w:rPr>
          <w:lang w:val="en-GB" w:eastAsia="ja-JP"/>
        </w:rPr>
        <w:t xml:space="preserve">to </w:t>
      </w:r>
      <w:r w:rsidR="00F248DC">
        <w:t xml:space="preserve">the </w:t>
      </w:r>
      <w:r w:rsidR="00F248DC" w:rsidRPr="0083689C">
        <w:t>frequency range 52.6 to 71 GHz</w:t>
      </w:r>
      <w:r w:rsidR="0010216B">
        <w:rPr>
          <w:lang w:val="en-GB" w:eastAsia="ja-JP"/>
        </w:rPr>
        <w:t xml:space="preserve">. However, this is a discussion that is needed </w:t>
      </w:r>
      <w:r w:rsidR="00F248DC">
        <w:rPr>
          <w:lang w:val="en-GB" w:eastAsia="ja-JP"/>
        </w:rPr>
        <w:t xml:space="preserve">anyway since even </w:t>
      </w:r>
      <w:r w:rsidR="00C40DD9">
        <w:rPr>
          <w:lang w:val="en-GB" w:eastAsia="ja-JP"/>
        </w:rPr>
        <w:t xml:space="preserve">if the </w:t>
      </w:r>
      <w:r w:rsidR="00C40DD9" w:rsidRPr="0083689C">
        <w:t>frequency range 52.6 to 71 GHz</w:t>
      </w:r>
      <w:r w:rsidR="00C40DD9">
        <w:t xml:space="preserve"> is a new FR, given that</w:t>
      </w:r>
      <w:r w:rsidR="00BF494D">
        <w:t xml:space="preserve"> most of the functionality in this new FR will need to be inherited from FR2.</w:t>
      </w:r>
      <w:r w:rsidR="00E45A78">
        <w:t xml:space="preserve"> </w:t>
      </w:r>
      <w:r w:rsidR="008C6345">
        <w:t>The alternatives are then to discuss which features are no</w:t>
      </w:r>
      <w:r w:rsidR="000D027A">
        <w:t xml:space="preserve">t applicable for the new bands in FR2 or </w:t>
      </w:r>
      <w:r w:rsidR="00A665FD">
        <w:t xml:space="preserve">to discuss </w:t>
      </w:r>
      <w:r w:rsidR="000D027A">
        <w:t>which features from FR2 that also apply to FR3.</w:t>
      </w:r>
      <w:r w:rsidR="00A665FD">
        <w:t xml:space="preserve"> Hence, </w:t>
      </w:r>
      <w:r w:rsidR="00B371B9">
        <w:t xml:space="preserve">either way, this discussion needs to take place and </w:t>
      </w:r>
      <w:r w:rsidR="009D210A">
        <w:t xml:space="preserve">should not </w:t>
      </w:r>
      <w:r w:rsidR="006C67AF">
        <w:t xml:space="preserve">decide whether </w:t>
      </w:r>
      <w:r w:rsidR="0020484F">
        <w:t>FR2 is extended or a new FR is introduced.</w:t>
      </w:r>
      <w:r w:rsidR="009D210A">
        <w:t xml:space="preserve"> </w:t>
      </w:r>
    </w:p>
    <w:p w14:paraId="28CE51A7" w14:textId="52D5F302" w:rsidR="00BF494D" w:rsidRDefault="00BF494D" w:rsidP="00BF494D">
      <w:pPr>
        <w:pStyle w:val="Observation"/>
      </w:pPr>
      <w:bookmarkStart w:id="15" w:name="_Toc71018206"/>
      <w:bookmarkStart w:id="16" w:name="_Toc71018405"/>
      <w:bookmarkStart w:id="17" w:name="_Toc71555327"/>
      <w:bookmarkStart w:id="18" w:name="_Toc71627874"/>
      <w:r>
        <w:t xml:space="preserve">Regardless of </w:t>
      </w:r>
      <w:r w:rsidR="005A6852">
        <w:t>if</w:t>
      </w:r>
      <w:r>
        <w:t xml:space="preserve"> the </w:t>
      </w:r>
      <w:r w:rsidRPr="0083689C">
        <w:t>frequency range 52.6 to 71 GHz</w:t>
      </w:r>
      <w:r>
        <w:t xml:space="preserve"> is an extension of FR2 or a new FR, the </w:t>
      </w:r>
      <w:r w:rsidR="00917D7F">
        <w:t xml:space="preserve">related </w:t>
      </w:r>
      <w:r>
        <w:t xml:space="preserve">UE capabilities </w:t>
      </w:r>
      <w:r w:rsidR="00917D7F">
        <w:t xml:space="preserve">and their applicability to </w:t>
      </w:r>
      <w:r w:rsidR="00754E19">
        <w:t xml:space="preserve">the </w:t>
      </w:r>
      <w:r w:rsidR="00754E19" w:rsidRPr="0083689C">
        <w:t>frequency range 52.6 to 71 GHz</w:t>
      </w:r>
      <w:r w:rsidR="00917D7F">
        <w:t xml:space="preserve"> </w:t>
      </w:r>
      <w:r>
        <w:t xml:space="preserve">will have to be </w:t>
      </w:r>
      <w:r w:rsidR="00DF216D">
        <w:t>analyzed</w:t>
      </w:r>
      <w:bookmarkEnd w:id="15"/>
      <w:bookmarkEnd w:id="16"/>
      <w:bookmarkEnd w:id="17"/>
      <w:bookmarkEnd w:id="18"/>
      <w:r w:rsidR="00DF216D">
        <w:t xml:space="preserve"> </w:t>
      </w:r>
    </w:p>
    <w:p w14:paraId="6AF6D894" w14:textId="37560705" w:rsidR="005F774A" w:rsidRDefault="008F59F3" w:rsidP="00A734F9">
      <w:pPr>
        <w:rPr>
          <w:lang w:val="en-GB" w:eastAsia="ja-JP"/>
        </w:rPr>
      </w:pPr>
      <w:r>
        <w:rPr>
          <w:lang w:val="en-GB" w:eastAsia="ja-JP"/>
        </w:rPr>
        <w:t xml:space="preserve">As for the details of such a discussion, </w:t>
      </w:r>
      <w:r w:rsidR="00E45A78">
        <w:rPr>
          <w:lang w:val="en-GB" w:eastAsia="ja-JP"/>
        </w:rPr>
        <w:t>rather than discuss</w:t>
      </w:r>
      <w:r w:rsidR="007847CF">
        <w:rPr>
          <w:lang w:val="en-GB" w:eastAsia="ja-JP"/>
        </w:rPr>
        <w:t xml:space="preserve"> the whole list, companies can bring up the ones that needs discussion. </w:t>
      </w:r>
      <w:r w:rsidR="005F774A">
        <w:rPr>
          <w:lang w:val="en-GB" w:eastAsia="ja-JP"/>
        </w:rPr>
        <w:t xml:space="preserve">Again, with the </w:t>
      </w:r>
      <w:r w:rsidR="00DA1045">
        <w:rPr>
          <w:lang w:val="en-GB" w:eastAsia="ja-JP"/>
        </w:rPr>
        <w:t>above-mentioned</w:t>
      </w:r>
      <w:r w:rsidR="005F774A">
        <w:rPr>
          <w:lang w:val="en-GB" w:eastAsia="ja-JP"/>
        </w:rPr>
        <w:t xml:space="preserve"> commonality</w:t>
      </w:r>
      <w:r w:rsidR="00DA1045">
        <w:rPr>
          <w:lang w:val="en-GB" w:eastAsia="ja-JP"/>
        </w:rPr>
        <w:t xml:space="preserve"> between FR2 and </w:t>
      </w:r>
      <w:r w:rsidR="00DA1045" w:rsidRPr="00DA1045">
        <w:rPr>
          <w:lang w:val="en-GB" w:eastAsia="ja-JP"/>
        </w:rPr>
        <w:t>the frequency range 52.6 to 71 GHz</w:t>
      </w:r>
      <w:r w:rsidR="00DA1045">
        <w:rPr>
          <w:lang w:val="en-GB" w:eastAsia="ja-JP"/>
        </w:rPr>
        <w:t xml:space="preserve">, the cases needing differentiating between </w:t>
      </w:r>
      <w:r w:rsidR="006455DF">
        <w:rPr>
          <w:lang w:val="en-GB" w:eastAsia="ja-JP"/>
        </w:rPr>
        <w:t>the two should be rather few.</w:t>
      </w:r>
    </w:p>
    <w:p w14:paraId="4D031EEF" w14:textId="64F45384" w:rsidR="00F065DA" w:rsidRDefault="006A30B3" w:rsidP="00A734F9">
      <w:pPr>
        <w:rPr>
          <w:lang w:val="en-GB" w:eastAsia="ja-JP"/>
        </w:rPr>
      </w:pPr>
      <w:r>
        <w:rPr>
          <w:lang w:val="en-GB" w:eastAsia="ja-JP"/>
        </w:rPr>
        <w:t xml:space="preserve">For the </w:t>
      </w:r>
      <w:r w:rsidR="002A5201">
        <w:rPr>
          <w:lang w:val="en-GB" w:eastAsia="ja-JP"/>
        </w:rPr>
        <w:t xml:space="preserve">discussion on the applicability of the UE features </w:t>
      </w:r>
      <w:r w:rsidR="00405AFD">
        <w:rPr>
          <w:lang w:val="en-GB" w:eastAsia="ja-JP"/>
        </w:rPr>
        <w:t xml:space="preserve">to the </w:t>
      </w:r>
      <w:r w:rsidR="00405AFD" w:rsidRPr="0083689C">
        <w:t>frequency range 52.6 to 71 GHz</w:t>
      </w:r>
      <w:r w:rsidR="00045393">
        <w:t xml:space="preserve">, it is useful to take a look at </w:t>
      </w:r>
      <w:r w:rsidR="00F065DA">
        <w:rPr>
          <w:lang w:val="en-GB" w:eastAsia="ja-JP"/>
        </w:rPr>
        <w:t>RAN2</w:t>
      </w:r>
      <w:r w:rsidR="0017060B">
        <w:rPr>
          <w:lang w:val="en-GB" w:eastAsia="ja-JP"/>
        </w:rPr>
        <w:t>’s</w:t>
      </w:r>
      <w:r w:rsidR="00F065DA">
        <w:rPr>
          <w:lang w:val="en-GB" w:eastAsia="ja-JP"/>
        </w:rPr>
        <w:t xml:space="preserve"> categoriz</w:t>
      </w:r>
      <w:r w:rsidR="0017060B">
        <w:rPr>
          <w:lang w:val="en-GB" w:eastAsia="ja-JP"/>
        </w:rPr>
        <w:t>ation</w:t>
      </w:r>
      <w:r w:rsidR="00045393">
        <w:rPr>
          <w:lang w:val="en-GB" w:eastAsia="ja-JP"/>
        </w:rPr>
        <w:t xml:space="preserve"> of UE features:</w:t>
      </w:r>
    </w:p>
    <w:p w14:paraId="1AA20B31" w14:textId="31FCF63E" w:rsidR="00432239" w:rsidRPr="00F400FF" w:rsidRDefault="00F400FF" w:rsidP="00F400FF">
      <w:pPr>
        <w:pStyle w:val="ListParagraph"/>
        <w:numPr>
          <w:ilvl w:val="0"/>
          <w:numId w:val="36"/>
        </w:numPr>
        <w:rPr>
          <w:lang w:val="en-GB" w:eastAsia="ja-JP"/>
        </w:rPr>
      </w:pPr>
      <w:r>
        <w:rPr>
          <w:rFonts w:ascii="Arial" w:hAnsi="Arial" w:cs="Arial"/>
          <w:sz w:val="20"/>
          <w:szCs w:val="20"/>
          <w:lang w:val="en-GB" w:eastAsia="ja-JP"/>
        </w:rPr>
        <w:t>“Per UE”</w:t>
      </w:r>
    </w:p>
    <w:p w14:paraId="507F8416" w14:textId="18AA0425" w:rsidR="00F400FF" w:rsidRPr="0067794F" w:rsidRDefault="00F400FF" w:rsidP="00F400FF">
      <w:pPr>
        <w:pStyle w:val="ListParagraph"/>
        <w:numPr>
          <w:ilvl w:val="1"/>
          <w:numId w:val="36"/>
        </w:numPr>
        <w:rPr>
          <w:lang w:val="en-GB" w:eastAsia="ja-JP"/>
        </w:rPr>
      </w:pPr>
      <w:r>
        <w:rPr>
          <w:rFonts w:ascii="Arial" w:hAnsi="Arial" w:cs="Arial"/>
          <w:sz w:val="20"/>
          <w:szCs w:val="20"/>
          <w:lang w:val="en-GB" w:eastAsia="ja-JP"/>
        </w:rPr>
        <w:t xml:space="preserve">The UE capability is here appliable in general, but </w:t>
      </w:r>
      <w:r w:rsidR="006E0DB6">
        <w:rPr>
          <w:rFonts w:ascii="Arial" w:hAnsi="Arial" w:cs="Arial"/>
          <w:sz w:val="20"/>
          <w:szCs w:val="20"/>
          <w:lang w:val="en-GB" w:eastAsia="ja-JP"/>
        </w:rPr>
        <w:t xml:space="preserve">some are </w:t>
      </w:r>
      <w:r w:rsidR="00385BE6">
        <w:rPr>
          <w:rFonts w:ascii="Arial" w:hAnsi="Arial" w:cs="Arial"/>
          <w:sz w:val="20"/>
          <w:szCs w:val="20"/>
          <w:lang w:val="en-GB" w:eastAsia="ja-JP"/>
        </w:rPr>
        <w:t xml:space="preserve">FR2 only and </w:t>
      </w:r>
      <w:r w:rsidR="00980731">
        <w:rPr>
          <w:rFonts w:ascii="Arial" w:hAnsi="Arial" w:cs="Arial"/>
          <w:sz w:val="20"/>
          <w:szCs w:val="20"/>
          <w:lang w:val="en-GB" w:eastAsia="ja-JP"/>
        </w:rPr>
        <w:t>there is the possibility of FR1/FR2 differentiation. D</w:t>
      </w:r>
      <w:r w:rsidR="0067794F">
        <w:rPr>
          <w:rFonts w:ascii="Arial" w:hAnsi="Arial" w:cs="Arial"/>
          <w:sz w:val="20"/>
          <w:szCs w:val="20"/>
          <w:lang w:val="en-GB" w:eastAsia="ja-JP"/>
        </w:rPr>
        <w:t xml:space="preserve">ecision </w:t>
      </w:r>
      <w:r w:rsidR="008106CE">
        <w:rPr>
          <w:rFonts w:ascii="Arial" w:hAnsi="Arial" w:cs="Arial"/>
          <w:sz w:val="20"/>
          <w:szCs w:val="20"/>
          <w:lang w:val="en-GB" w:eastAsia="ja-JP"/>
        </w:rPr>
        <w:t xml:space="preserve">to have further differentiation between FR2 and </w:t>
      </w:r>
      <w:r w:rsidR="00906AD8" w:rsidRPr="00906AD8">
        <w:rPr>
          <w:rFonts w:ascii="Arial" w:hAnsi="Arial" w:cs="Arial"/>
          <w:sz w:val="20"/>
          <w:szCs w:val="20"/>
          <w:lang w:val="en-GB" w:eastAsia="ja-JP"/>
        </w:rPr>
        <w:t xml:space="preserve">the frequency range 52.6 to 71 GHz </w:t>
      </w:r>
      <w:r w:rsidR="0067794F">
        <w:rPr>
          <w:rFonts w:ascii="Arial" w:hAnsi="Arial" w:cs="Arial"/>
          <w:sz w:val="20"/>
          <w:szCs w:val="20"/>
          <w:lang w:val="en-GB" w:eastAsia="ja-JP"/>
        </w:rPr>
        <w:t xml:space="preserve">could have RAN2 </w:t>
      </w:r>
      <w:r w:rsidR="00230C78">
        <w:rPr>
          <w:rFonts w:ascii="Arial" w:hAnsi="Arial" w:cs="Arial"/>
          <w:sz w:val="20"/>
          <w:szCs w:val="20"/>
          <w:lang w:val="en-GB" w:eastAsia="ja-JP"/>
        </w:rPr>
        <w:t>signalling</w:t>
      </w:r>
      <w:r w:rsidR="0067794F">
        <w:rPr>
          <w:rFonts w:ascii="Arial" w:hAnsi="Arial" w:cs="Arial"/>
          <w:sz w:val="20"/>
          <w:szCs w:val="20"/>
          <w:lang w:val="en-GB" w:eastAsia="ja-JP"/>
        </w:rPr>
        <w:t xml:space="preserve"> impact</w:t>
      </w:r>
      <w:r w:rsidR="00906AD8">
        <w:rPr>
          <w:rFonts w:ascii="Arial" w:hAnsi="Arial" w:cs="Arial"/>
          <w:sz w:val="20"/>
          <w:szCs w:val="20"/>
          <w:lang w:val="en-GB" w:eastAsia="ja-JP"/>
        </w:rPr>
        <w:t xml:space="preserve">, but this is regardless of </w:t>
      </w:r>
      <w:r w:rsidR="00825236">
        <w:rPr>
          <w:rFonts w:ascii="Arial" w:hAnsi="Arial" w:cs="Arial"/>
          <w:sz w:val="20"/>
          <w:szCs w:val="20"/>
          <w:lang w:val="en-GB" w:eastAsia="ja-JP"/>
        </w:rPr>
        <w:t>extension of FR2 or a new FR</w:t>
      </w:r>
      <w:r w:rsidR="00385BE6">
        <w:rPr>
          <w:rFonts w:ascii="Arial" w:hAnsi="Arial" w:cs="Arial"/>
          <w:sz w:val="20"/>
          <w:szCs w:val="20"/>
          <w:lang w:val="en-GB" w:eastAsia="ja-JP"/>
        </w:rPr>
        <w:t>.</w:t>
      </w:r>
    </w:p>
    <w:p w14:paraId="7CB69345" w14:textId="099E4A75" w:rsidR="0067794F" w:rsidRPr="0067794F" w:rsidRDefault="0067794F" w:rsidP="0067794F">
      <w:pPr>
        <w:pStyle w:val="ListParagraph"/>
        <w:numPr>
          <w:ilvl w:val="0"/>
          <w:numId w:val="36"/>
        </w:numPr>
        <w:rPr>
          <w:lang w:val="en-GB" w:eastAsia="ja-JP"/>
        </w:rPr>
      </w:pPr>
      <w:r>
        <w:rPr>
          <w:rFonts w:ascii="Arial" w:hAnsi="Arial" w:cs="Arial"/>
          <w:sz w:val="20"/>
          <w:szCs w:val="20"/>
          <w:lang w:val="en-GB" w:eastAsia="ja-JP"/>
        </w:rPr>
        <w:t>“Per Band”</w:t>
      </w:r>
    </w:p>
    <w:p w14:paraId="189B26AD" w14:textId="05DDB891" w:rsidR="0067794F" w:rsidRPr="00230C78" w:rsidRDefault="00353E36" w:rsidP="0067794F">
      <w:pPr>
        <w:pStyle w:val="ListParagraph"/>
        <w:numPr>
          <w:ilvl w:val="1"/>
          <w:numId w:val="36"/>
        </w:numPr>
        <w:rPr>
          <w:lang w:val="en-GB" w:eastAsia="ja-JP"/>
        </w:rPr>
      </w:pPr>
      <w:r>
        <w:rPr>
          <w:rFonts w:ascii="Arial" w:hAnsi="Arial" w:cs="Arial"/>
          <w:sz w:val="20"/>
          <w:szCs w:val="20"/>
          <w:lang w:val="en-GB" w:eastAsia="ja-JP"/>
        </w:rPr>
        <w:t xml:space="preserve">Since </w:t>
      </w:r>
      <w:r w:rsidRPr="00353E36">
        <w:rPr>
          <w:rFonts w:ascii="Arial" w:hAnsi="Arial" w:cs="Arial"/>
          <w:sz w:val="20"/>
          <w:szCs w:val="20"/>
          <w:lang w:val="en-GB" w:eastAsia="ja-JP"/>
        </w:rPr>
        <w:t xml:space="preserve">the frequency range 52.6 to 71 GHz is a new </w:t>
      </w:r>
      <w:r w:rsidR="00230C78">
        <w:rPr>
          <w:rFonts w:ascii="Arial" w:hAnsi="Arial" w:cs="Arial"/>
          <w:sz w:val="20"/>
          <w:szCs w:val="20"/>
          <w:lang w:val="en-GB" w:eastAsia="ja-JP"/>
        </w:rPr>
        <w:t>band, p</w:t>
      </w:r>
      <w:r w:rsidR="00A53BDD">
        <w:rPr>
          <w:rFonts w:ascii="Arial" w:hAnsi="Arial" w:cs="Arial"/>
          <w:sz w:val="20"/>
          <w:szCs w:val="20"/>
          <w:lang w:val="en-GB" w:eastAsia="ja-JP"/>
        </w:rPr>
        <w:t xml:space="preserve">ossibility of </w:t>
      </w:r>
      <w:r>
        <w:rPr>
          <w:rFonts w:ascii="Arial" w:hAnsi="Arial" w:cs="Arial"/>
          <w:sz w:val="20"/>
          <w:szCs w:val="20"/>
          <w:lang w:val="en-GB" w:eastAsia="ja-JP"/>
        </w:rPr>
        <w:t>differenti</w:t>
      </w:r>
      <w:r w:rsidR="00230C78">
        <w:rPr>
          <w:rFonts w:ascii="Arial" w:hAnsi="Arial" w:cs="Arial"/>
          <w:sz w:val="20"/>
          <w:szCs w:val="20"/>
          <w:lang w:val="en-GB" w:eastAsia="ja-JP"/>
        </w:rPr>
        <w:t xml:space="preserve">ation is already supported by </w:t>
      </w:r>
      <w:r w:rsidR="00087D08">
        <w:rPr>
          <w:rFonts w:ascii="Arial" w:hAnsi="Arial" w:cs="Arial"/>
          <w:sz w:val="20"/>
          <w:szCs w:val="20"/>
          <w:lang w:val="en-GB" w:eastAsia="ja-JP"/>
        </w:rPr>
        <w:t xml:space="preserve">the UE capability </w:t>
      </w:r>
      <w:proofErr w:type="spellStart"/>
      <w:r w:rsidR="00087D08">
        <w:rPr>
          <w:rFonts w:ascii="Arial" w:hAnsi="Arial" w:cs="Arial"/>
          <w:sz w:val="20"/>
          <w:szCs w:val="20"/>
          <w:lang w:val="en-GB" w:eastAsia="ja-JP"/>
        </w:rPr>
        <w:t>signaling</w:t>
      </w:r>
      <w:proofErr w:type="spellEnd"/>
      <w:r w:rsidR="00087D08">
        <w:rPr>
          <w:rFonts w:ascii="Arial" w:hAnsi="Arial" w:cs="Arial"/>
          <w:sz w:val="20"/>
          <w:szCs w:val="20"/>
          <w:lang w:val="en-GB" w:eastAsia="ja-JP"/>
        </w:rPr>
        <w:t xml:space="preserve"> </w:t>
      </w:r>
    </w:p>
    <w:p w14:paraId="1C673AC0" w14:textId="61B91664" w:rsidR="00230C78" w:rsidRPr="00230C78" w:rsidRDefault="00230C78" w:rsidP="00230C78">
      <w:pPr>
        <w:pStyle w:val="ListParagraph"/>
        <w:numPr>
          <w:ilvl w:val="0"/>
          <w:numId w:val="36"/>
        </w:numPr>
        <w:rPr>
          <w:lang w:val="en-GB" w:eastAsia="ja-JP"/>
        </w:rPr>
      </w:pPr>
      <w:r>
        <w:rPr>
          <w:rFonts w:ascii="Arial" w:hAnsi="Arial" w:cs="Arial"/>
          <w:sz w:val="20"/>
          <w:szCs w:val="20"/>
          <w:lang w:val="en-GB" w:eastAsia="ja-JP"/>
        </w:rPr>
        <w:t>“Per BC”</w:t>
      </w:r>
    </w:p>
    <w:p w14:paraId="149CED59" w14:textId="1C463A6C" w:rsidR="00230C78" w:rsidRPr="0033679B" w:rsidRDefault="0033679B" w:rsidP="00230C78">
      <w:pPr>
        <w:pStyle w:val="ListParagraph"/>
        <w:numPr>
          <w:ilvl w:val="1"/>
          <w:numId w:val="36"/>
        </w:numPr>
        <w:rPr>
          <w:lang w:val="en-GB" w:eastAsia="ja-JP"/>
        </w:rPr>
      </w:pPr>
      <w:r>
        <w:rPr>
          <w:rFonts w:ascii="Arial" w:hAnsi="Arial" w:cs="Arial"/>
          <w:sz w:val="20"/>
          <w:szCs w:val="20"/>
          <w:lang w:val="en-GB" w:eastAsia="ja-JP"/>
        </w:rPr>
        <w:t xml:space="preserve">All bands </w:t>
      </w:r>
      <w:r w:rsidR="007E262E">
        <w:rPr>
          <w:rFonts w:ascii="Arial" w:hAnsi="Arial" w:cs="Arial"/>
          <w:sz w:val="20"/>
          <w:szCs w:val="20"/>
          <w:lang w:val="en-GB" w:eastAsia="ja-JP"/>
        </w:rPr>
        <w:t xml:space="preserve">within the band combinations </w:t>
      </w:r>
      <w:r>
        <w:rPr>
          <w:rFonts w:ascii="Arial" w:hAnsi="Arial" w:cs="Arial"/>
          <w:sz w:val="20"/>
          <w:szCs w:val="20"/>
          <w:lang w:val="en-GB" w:eastAsia="ja-JP"/>
        </w:rPr>
        <w:t xml:space="preserve">will have the same and </w:t>
      </w:r>
      <w:r w:rsidR="009A2CCD">
        <w:rPr>
          <w:rFonts w:ascii="Arial" w:hAnsi="Arial" w:cs="Arial"/>
          <w:sz w:val="20"/>
          <w:szCs w:val="20"/>
          <w:lang w:val="en-GB" w:eastAsia="ja-JP"/>
        </w:rPr>
        <w:t xml:space="preserve">if </w:t>
      </w:r>
      <w:r>
        <w:rPr>
          <w:rFonts w:ascii="Arial" w:hAnsi="Arial" w:cs="Arial"/>
          <w:sz w:val="20"/>
          <w:szCs w:val="20"/>
          <w:lang w:val="en-GB" w:eastAsia="ja-JP"/>
        </w:rPr>
        <w:t xml:space="preserve">differentiation is needed </w:t>
      </w:r>
      <w:r w:rsidR="009A2CCD">
        <w:rPr>
          <w:rFonts w:ascii="Arial" w:hAnsi="Arial" w:cs="Arial"/>
          <w:sz w:val="20"/>
          <w:szCs w:val="20"/>
          <w:lang w:val="en-GB" w:eastAsia="ja-JP"/>
        </w:rPr>
        <w:t xml:space="preserve">it has </w:t>
      </w:r>
      <w:r>
        <w:rPr>
          <w:rFonts w:ascii="Arial" w:hAnsi="Arial" w:cs="Arial"/>
          <w:sz w:val="20"/>
          <w:szCs w:val="20"/>
          <w:lang w:val="en-GB" w:eastAsia="ja-JP"/>
        </w:rPr>
        <w:t>po</w:t>
      </w:r>
      <w:r w:rsidR="009A2CCD">
        <w:rPr>
          <w:rFonts w:ascii="Arial" w:hAnsi="Arial" w:cs="Arial"/>
          <w:sz w:val="20"/>
          <w:szCs w:val="20"/>
          <w:lang w:val="en-GB" w:eastAsia="ja-JP"/>
        </w:rPr>
        <w:t>tential</w:t>
      </w:r>
      <w:r>
        <w:rPr>
          <w:rFonts w:ascii="Arial" w:hAnsi="Arial" w:cs="Arial"/>
          <w:sz w:val="20"/>
          <w:szCs w:val="20"/>
          <w:lang w:val="en-GB" w:eastAsia="ja-JP"/>
        </w:rPr>
        <w:t xml:space="preserve"> RAN2 signalling impact</w:t>
      </w:r>
    </w:p>
    <w:p w14:paraId="72031096" w14:textId="3D701D27" w:rsidR="0033679B" w:rsidRPr="00136986" w:rsidRDefault="00002BA3" w:rsidP="0033679B">
      <w:pPr>
        <w:pStyle w:val="ListParagraph"/>
        <w:numPr>
          <w:ilvl w:val="0"/>
          <w:numId w:val="36"/>
        </w:numPr>
        <w:rPr>
          <w:rFonts w:ascii="Arial" w:hAnsi="Arial" w:cs="Arial"/>
          <w:sz w:val="20"/>
          <w:szCs w:val="20"/>
          <w:lang w:val="en-GB" w:eastAsia="ja-JP"/>
        </w:rPr>
      </w:pPr>
      <w:r w:rsidRPr="00136986">
        <w:rPr>
          <w:rFonts w:ascii="Arial" w:hAnsi="Arial" w:cs="Arial"/>
          <w:sz w:val="20"/>
          <w:szCs w:val="20"/>
          <w:lang w:val="en-GB" w:eastAsia="ja-JP"/>
        </w:rPr>
        <w:t>“Per FS” (</w:t>
      </w:r>
      <w:r w:rsidR="00136986" w:rsidRPr="00136986">
        <w:rPr>
          <w:rFonts w:ascii="Arial" w:hAnsi="Arial" w:cs="Arial"/>
          <w:sz w:val="20"/>
          <w:szCs w:val="20"/>
          <w:lang w:val="en-GB" w:eastAsia="ja-JP"/>
        </w:rPr>
        <w:t>per band per band combination)</w:t>
      </w:r>
    </w:p>
    <w:p w14:paraId="6B1174D8" w14:textId="66CE1348" w:rsidR="00136986" w:rsidRPr="00136986" w:rsidRDefault="00136986" w:rsidP="00136986">
      <w:pPr>
        <w:pStyle w:val="ListParagraph"/>
        <w:numPr>
          <w:ilvl w:val="1"/>
          <w:numId w:val="36"/>
        </w:numPr>
        <w:rPr>
          <w:rFonts w:ascii="Arial" w:hAnsi="Arial" w:cs="Arial"/>
          <w:sz w:val="20"/>
          <w:szCs w:val="20"/>
          <w:lang w:val="en-GB" w:eastAsia="ja-JP"/>
        </w:rPr>
      </w:pPr>
      <w:r w:rsidRPr="00136986">
        <w:rPr>
          <w:rFonts w:ascii="Arial" w:hAnsi="Arial" w:cs="Arial"/>
          <w:sz w:val="20"/>
          <w:szCs w:val="20"/>
          <w:lang w:val="en-GB" w:eastAsia="ja-JP"/>
        </w:rPr>
        <w:t xml:space="preserve">possibility of differentiation is already supported by </w:t>
      </w:r>
      <w:r w:rsidR="00962D2A">
        <w:rPr>
          <w:rFonts w:ascii="Arial" w:hAnsi="Arial" w:cs="Arial"/>
          <w:sz w:val="20"/>
          <w:szCs w:val="20"/>
          <w:lang w:val="en-GB" w:eastAsia="ja-JP"/>
        </w:rPr>
        <w:t xml:space="preserve">the UE capability </w:t>
      </w:r>
      <w:proofErr w:type="spellStart"/>
      <w:r w:rsidR="00962D2A">
        <w:rPr>
          <w:rFonts w:ascii="Arial" w:hAnsi="Arial" w:cs="Arial"/>
          <w:sz w:val="20"/>
          <w:szCs w:val="20"/>
          <w:lang w:val="en-GB" w:eastAsia="ja-JP"/>
        </w:rPr>
        <w:t>signaling</w:t>
      </w:r>
      <w:proofErr w:type="spellEnd"/>
    </w:p>
    <w:p w14:paraId="00C370A6" w14:textId="6CCE261A" w:rsidR="00534473" w:rsidRPr="00136986" w:rsidRDefault="00534473" w:rsidP="00534473">
      <w:pPr>
        <w:pStyle w:val="ListParagraph"/>
        <w:numPr>
          <w:ilvl w:val="0"/>
          <w:numId w:val="36"/>
        </w:numPr>
        <w:rPr>
          <w:rFonts w:ascii="Arial" w:hAnsi="Arial" w:cs="Arial"/>
          <w:sz w:val="20"/>
          <w:szCs w:val="20"/>
          <w:lang w:val="en-GB" w:eastAsia="ja-JP"/>
        </w:rPr>
      </w:pPr>
      <w:r w:rsidRPr="00136986">
        <w:rPr>
          <w:rFonts w:ascii="Arial" w:hAnsi="Arial" w:cs="Arial"/>
          <w:sz w:val="20"/>
          <w:szCs w:val="20"/>
          <w:lang w:val="en-GB" w:eastAsia="ja-JP"/>
        </w:rPr>
        <w:t>“Per FS</w:t>
      </w:r>
      <w:r>
        <w:rPr>
          <w:rFonts w:ascii="Arial" w:hAnsi="Arial" w:cs="Arial"/>
          <w:sz w:val="20"/>
          <w:szCs w:val="20"/>
          <w:lang w:val="en-GB" w:eastAsia="ja-JP"/>
        </w:rPr>
        <w:t>PC</w:t>
      </w:r>
      <w:r w:rsidRPr="00136986">
        <w:rPr>
          <w:rFonts w:ascii="Arial" w:hAnsi="Arial" w:cs="Arial"/>
          <w:sz w:val="20"/>
          <w:szCs w:val="20"/>
          <w:lang w:val="en-GB" w:eastAsia="ja-JP"/>
        </w:rPr>
        <w:t>” (</w:t>
      </w:r>
      <w:r>
        <w:rPr>
          <w:rFonts w:ascii="Arial" w:hAnsi="Arial" w:cs="Arial"/>
          <w:sz w:val="20"/>
          <w:szCs w:val="20"/>
          <w:lang w:val="en-GB" w:eastAsia="ja-JP"/>
        </w:rPr>
        <w:t xml:space="preserve">per CC </w:t>
      </w:r>
      <w:r w:rsidRPr="00136986">
        <w:rPr>
          <w:rFonts w:ascii="Arial" w:hAnsi="Arial" w:cs="Arial"/>
          <w:sz w:val="20"/>
          <w:szCs w:val="20"/>
          <w:lang w:val="en-GB" w:eastAsia="ja-JP"/>
        </w:rPr>
        <w:t>per band per band combination)</w:t>
      </w:r>
    </w:p>
    <w:p w14:paraId="64C54FB1" w14:textId="1063C8B9" w:rsidR="00534473" w:rsidRDefault="00534473" w:rsidP="00534473">
      <w:pPr>
        <w:pStyle w:val="ListParagraph"/>
        <w:numPr>
          <w:ilvl w:val="1"/>
          <w:numId w:val="36"/>
        </w:numPr>
        <w:rPr>
          <w:rFonts w:ascii="Arial" w:hAnsi="Arial" w:cs="Arial"/>
          <w:sz w:val="20"/>
          <w:szCs w:val="20"/>
          <w:lang w:val="en-GB" w:eastAsia="ja-JP"/>
        </w:rPr>
      </w:pPr>
      <w:r w:rsidRPr="00136986">
        <w:rPr>
          <w:rFonts w:ascii="Arial" w:hAnsi="Arial" w:cs="Arial"/>
          <w:sz w:val="20"/>
          <w:szCs w:val="20"/>
          <w:lang w:val="en-GB" w:eastAsia="ja-JP"/>
        </w:rPr>
        <w:t xml:space="preserve">possibility of differentiation is already supported </w:t>
      </w:r>
      <w:r w:rsidR="00962D2A">
        <w:rPr>
          <w:rFonts w:ascii="Arial" w:hAnsi="Arial" w:cs="Arial"/>
          <w:sz w:val="20"/>
          <w:szCs w:val="20"/>
          <w:lang w:val="en-GB" w:eastAsia="ja-JP"/>
        </w:rPr>
        <w:t xml:space="preserve">by the UE capability </w:t>
      </w:r>
      <w:proofErr w:type="spellStart"/>
      <w:r w:rsidR="00962D2A">
        <w:rPr>
          <w:rFonts w:ascii="Arial" w:hAnsi="Arial" w:cs="Arial"/>
          <w:sz w:val="20"/>
          <w:szCs w:val="20"/>
          <w:lang w:val="en-GB" w:eastAsia="ja-JP"/>
        </w:rPr>
        <w:t>signaling</w:t>
      </w:r>
      <w:proofErr w:type="spellEnd"/>
    </w:p>
    <w:p w14:paraId="5F182E15" w14:textId="0C34C9B2" w:rsidR="00962D2A" w:rsidRDefault="00962D2A" w:rsidP="00962D2A">
      <w:pPr>
        <w:rPr>
          <w:rFonts w:cs="Arial"/>
          <w:szCs w:val="20"/>
          <w:lang w:val="en-GB" w:eastAsia="ja-JP"/>
        </w:rPr>
      </w:pPr>
    </w:p>
    <w:p w14:paraId="602A63DD" w14:textId="0CB954EB" w:rsidR="00045393" w:rsidRPr="00962D2A" w:rsidRDefault="00045393" w:rsidP="00962D2A">
      <w:pPr>
        <w:rPr>
          <w:rFonts w:cs="Arial"/>
          <w:szCs w:val="20"/>
          <w:lang w:val="en-GB" w:eastAsia="ja-JP"/>
        </w:rPr>
      </w:pPr>
      <w:r>
        <w:rPr>
          <w:rFonts w:cs="Arial"/>
          <w:szCs w:val="20"/>
          <w:lang w:val="en-GB" w:eastAsia="ja-JP"/>
        </w:rPr>
        <w:t xml:space="preserve">Hence, careful discussion is </w:t>
      </w:r>
      <w:r w:rsidR="00441718">
        <w:rPr>
          <w:rFonts w:cs="Arial"/>
          <w:szCs w:val="20"/>
          <w:lang w:val="en-GB" w:eastAsia="ja-JP"/>
        </w:rPr>
        <w:t xml:space="preserve">especially </w:t>
      </w:r>
      <w:r>
        <w:rPr>
          <w:rFonts w:cs="Arial"/>
          <w:szCs w:val="20"/>
          <w:lang w:val="en-GB" w:eastAsia="ja-JP"/>
        </w:rPr>
        <w:t xml:space="preserve">needed for the </w:t>
      </w:r>
      <w:r w:rsidR="00441718">
        <w:rPr>
          <w:rFonts w:cs="Arial"/>
          <w:szCs w:val="20"/>
          <w:lang w:val="en-GB" w:eastAsia="ja-JP"/>
        </w:rPr>
        <w:t>“Per UE” and “Per</w:t>
      </w:r>
      <w:r w:rsidR="008C66E6">
        <w:rPr>
          <w:rFonts w:cs="Arial"/>
          <w:szCs w:val="20"/>
          <w:lang w:val="en-GB" w:eastAsia="ja-JP"/>
        </w:rPr>
        <w:t xml:space="preserve"> BC” UE features categories.</w:t>
      </w:r>
    </w:p>
    <w:p w14:paraId="13D9DAAF" w14:textId="21439546" w:rsidR="00917D7F" w:rsidRDefault="009E196A" w:rsidP="009E196A">
      <w:pPr>
        <w:pStyle w:val="Heading1"/>
      </w:pPr>
      <w:r>
        <w:lastRenderedPageBreak/>
        <w:t>3</w:t>
      </w:r>
      <w:r>
        <w:tab/>
        <w:t>Conclusion</w:t>
      </w:r>
    </w:p>
    <w:p w14:paraId="719F7AAA" w14:textId="639F9F44" w:rsidR="009E196A" w:rsidRDefault="009E196A" w:rsidP="009E196A">
      <w:pPr>
        <w:rPr>
          <w:lang w:val="en-GB" w:eastAsia="ja-JP"/>
        </w:rPr>
      </w:pPr>
      <w:r>
        <w:rPr>
          <w:lang w:val="en-GB" w:eastAsia="ja-JP"/>
        </w:rPr>
        <w:t>I</w:t>
      </w:r>
      <w:r w:rsidR="005D3691">
        <w:rPr>
          <w:lang w:val="en-GB" w:eastAsia="ja-JP"/>
        </w:rPr>
        <w:t>n</w:t>
      </w:r>
      <w:r>
        <w:rPr>
          <w:lang w:val="en-GB" w:eastAsia="ja-JP"/>
        </w:rPr>
        <w:t xml:space="preserve"> this contribution on how to i</w:t>
      </w:r>
      <w:r w:rsidRPr="009E196A">
        <w:rPr>
          <w:lang w:val="en-GB" w:eastAsia="ja-JP"/>
        </w:rPr>
        <w:t>ntroduc</w:t>
      </w:r>
      <w:r>
        <w:rPr>
          <w:lang w:val="en-GB" w:eastAsia="ja-JP"/>
        </w:rPr>
        <w:t xml:space="preserve">e </w:t>
      </w:r>
      <w:r w:rsidRPr="009E196A">
        <w:rPr>
          <w:lang w:val="en-GB" w:eastAsia="ja-JP"/>
        </w:rPr>
        <w:t>the 52.6 to 71 GHz frequency range</w:t>
      </w:r>
      <w:r>
        <w:rPr>
          <w:lang w:val="en-GB" w:eastAsia="ja-JP"/>
        </w:rPr>
        <w:t xml:space="preserve"> in the specification, we made the following observations:</w:t>
      </w:r>
    </w:p>
    <w:p w14:paraId="7CB2C2D6" w14:textId="77777777" w:rsidR="005D3691" w:rsidRDefault="005A6852">
      <w:pPr>
        <w:pStyle w:val="TOC1"/>
        <w:rPr>
          <w:rFonts w:asciiTheme="minorHAnsi" w:eastAsiaTheme="minorEastAsia" w:hAnsiTheme="minorHAnsi"/>
          <w:b w:val="0"/>
          <w:sz w:val="22"/>
          <w:lang w:eastAsia="en-US"/>
        </w:rPr>
      </w:pPr>
      <w:r>
        <w:rPr>
          <w:lang w:val="en-GB"/>
        </w:rPr>
        <w:fldChar w:fldCharType="begin"/>
      </w:r>
      <w:r>
        <w:rPr>
          <w:lang w:val="en-GB"/>
        </w:rPr>
        <w:instrText xml:space="preserve"> TOC \n \t "Observation,1" </w:instrText>
      </w:r>
      <w:r>
        <w:rPr>
          <w:lang w:val="en-GB"/>
        </w:rPr>
        <w:fldChar w:fldCharType="separate"/>
      </w:r>
      <w:r w:rsidR="005D3691">
        <w:t>Observation 1</w:t>
      </w:r>
      <w:r w:rsidR="005D3691">
        <w:rPr>
          <w:rFonts w:asciiTheme="minorHAnsi" w:eastAsiaTheme="minorEastAsia" w:hAnsiTheme="minorHAnsi"/>
          <w:b w:val="0"/>
          <w:sz w:val="22"/>
          <w:lang w:eastAsia="en-US"/>
        </w:rPr>
        <w:tab/>
      </w:r>
      <w:r w:rsidR="005D3691">
        <w:t>Based on the WID, the starting point is that the same functionality applies to FR2 and the frequency range of 52.6 to 71 GHz</w:t>
      </w:r>
    </w:p>
    <w:p w14:paraId="70E99575" w14:textId="77777777" w:rsidR="005D3691" w:rsidRDefault="005D3691">
      <w:pPr>
        <w:pStyle w:val="TOC1"/>
        <w:rPr>
          <w:rFonts w:asciiTheme="minorHAnsi" w:eastAsiaTheme="minorEastAsia" w:hAnsiTheme="minorHAnsi"/>
          <w:b w:val="0"/>
          <w:sz w:val="22"/>
          <w:lang w:eastAsia="en-US"/>
        </w:rPr>
      </w:pPr>
      <w:r w:rsidRPr="004626E5">
        <w:rPr>
          <w:lang w:val="en-GB"/>
        </w:rPr>
        <w:t>Observation 2</w:t>
      </w:r>
      <w:r>
        <w:rPr>
          <w:rFonts w:asciiTheme="minorHAnsi" w:eastAsiaTheme="minorEastAsia" w:hAnsiTheme="minorHAnsi"/>
          <w:b w:val="0"/>
          <w:sz w:val="22"/>
          <w:lang w:eastAsia="en-US"/>
        </w:rPr>
        <w:tab/>
      </w:r>
      <w:r w:rsidRPr="004626E5">
        <w:rPr>
          <w:lang w:val="en-GB"/>
        </w:rPr>
        <w:t>Most FR2 functionality will be applicable also to the frequency range of 52.6 to 71 GHz.</w:t>
      </w:r>
    </w:p>
    <w:p w14:paraId="4C17A450" w14:textId="77777777" w:rsidR="005D3691" w:rsidRDefault="005D3691">
      <w:pPr>
        <w:pStyle w:val="TOC1"/>
        <w:rPr>
          <w:rFonts w:asciiTheme="minorHAnsi" w:eastAsiaTheme="minorEastAsia" w:hAnsiTheme="minorHAnsi"/>
          <w:b w:val="0"/>
          <w:sz w:val="22"/>
          <w:lang w:eastAsia="en-US"/>
        </w:rPr>
      </w:pPr>
      <w:r>
        <w:t>Observation 3</w:t>
      </w:r>
      <w:r>
        <w:rPr>
          <w:rFonts w:asciiTheme="minorHAnsi" w:eastAsiaTheme="minorEastAsia" w:hAnsiTheme="minorHAnsi"/>
          <w:b w:val="0"/>
          <w:sz w:val="22"/>
          <w:lang w:eastAsia="en-US"/>
        </w:rPr>
        <w:tab/>
      </w:r>
      <w:r>
        <w:t>It needs to be possible to limit some new functionality as only applicable to the frequency range 52.6 to 71 GHz. Such limitations can be captured in RAN4 specifications and tied to the frequency band; defining a new FR is not warranted for this reason.</w:t>
      </w:r>
    </w:p>
    <w:p w14:paraId="42075FD0" w14:textId="77777777" w:rsidR="005D3691" w:rsidRDefault="005D3691">
      <w:pPr>
        <w:pStyle w:val="TOC1"/>
        <w:rPr>
          <w:rFonts w:asciiTheme="minorHAnsi" w:eastAsiaTheme="minorEastAsia" w:hAnsiTheme="minorHAnsi"/>
          <w:b w:val="0"/>
          <w:sz w:val="22"/>
          <w:lang w:eastAsia="en-US"/>
        </w:rPr>
      </w:pPr>
      <w:r>
        <w:t>Observation 4</w:t>
      </w:r>
      <w:r>
        <w:rPr>
          <w:rFonts w:asciiTheme="minorHAnsi" w:eastAsiaTheme="minorEastAsia" w:hAnsiTheme="minorHAnsi"/>
          <w:b w:val="0"/>
          <w:sz w:val="22"/>
          <w:lang w:eastAsia="en-US"/>
        </w:rPr>
        <w:tab/>
      </w:r>
      <w:r>
        <w:t>Regardless of if the frequency range 52.6 to 71 GHz is an extension of FR2 or a new FR, the related UE capabilities and their applicability to the frequency range 52.6 to 71 GHz will have to be analyzed</w:t>
      </w:r>
    </w:p>
    <w:p w14:paraId="177ABFAE" w14:textId="2FF384BB" w:rsidR="00215C47" w:rsidRDefault="005A6852" w:rsidP="009E196A">
      <w:pPr>
        <w:rPr>
          <w:lang w:val="en-GB" w:eastAsia="ja-JP"/>
        </w:rPr>
      </w:pPr>
      <w:r>
        <w:rPr>
          <w:lang w:val="en-GB" w:eastAsia="ja-JP"/>
        </w:rPr>
        <w:fldChar w:fldCharType="end"/>
      </w:r>
    </w:p>
    <w:p w14:paraId="1524D295" w14:textId="109F7F1D" w:rsidR="009E196A" w:rsidRDefault="009E196A" w:rsidP="009E196A">
      <w:pPr>
        <w:rPr>
          <w:lang w:val="en-GB" w:eastAsia="ja-JP"/>
        </w:rPr>
      </w:pPr>
      <w:r>
        <w:rPr>
          <w:lang w:val="en-GB" w:eastAsia="ja-JP"/>
        </w:rPr>
        <w:t xml:space="preserve">Based on the </w:t>
      </w:r>
      <w:r w:rsidR="009C5DD6">
        <w:rPr>
          <w:lang w:val="en-GB" w:eastAsia="ja-JP"/>
        </w:rPr>
        <w:t>discussion in this contribution we propose the following:</w:t>
      </w:r>
    </w:p>
    <w:p w14:paraId="51DC38C0" w14:textId="68413C1C" w:rsidR="009C5DD6" w:rsidRDefault="009C5DD6" w:rsidP="009C5DD6">
      <w:pPr>
        <w:pStyle w:val="Proposal"/>
        <w:rPr>
          <w:lang w:val="en-GB"/>
        </w:rPr>
      </w:pPr>
      <w:r w:rsidRPr="009C5DD6">
        <w:rPr>
          <w:lang w:val="en-GB"/>
        </w:rPr>
        <w:t>RAN1 recommends that the current FR2 is extended to incorporate the frequency range 52.6 – 71 GHz</w:t>
      </w:r>
    </w:p>
    <w:p w14:paraId="6EEAA916" w14:textId="67D645EB" w:rsidR="00CD2BFC" w:rsidRDefault="00CD2BFC" w:rsidP="005D3691">
      <w:pPr>
        <w:pStyle w:val="Reference"/>
        <w:numPr>
          <w:ilvl w:val="0"/>
          <w:numId w:val="0"/>
        </w:numPr>
      </w:pPr>
    </w:p>
    <w:p w14:paraId="4BD79C35" w14:textId="509F72AE" w:rsidR="00D61755" w:rsidRDefault="00D61755" w:rsidP="00D61755">
      <w:pPr>
        <w:pStyle w:val="Reference"/>
        <w:numPr>
          <w:ilvl w:val="0"/>
          <w:numId w:val="0"/>
        </w:numPr>
        <w:ind w:left="567"/>
      </w:pPr>
    </w:p>
    <w:sectPr w:rsidR="00D6175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CA0F4" w14:textId="77777777" w:rsidR="0004473A" w:rsidRDefault="0004473A">
      <w:r>
        <w:separator/>
      </w:r>
    </w:p>
  </w:endnote>
  <w:endnote w:type="continuationSeparator" w:id="0">
    <w:p w14:paraId="034B1CDF" w14:textId="77777777" w:rsidR="0004473A" w:rsidRDefault="0004473A">
      <w:r>
        <w:continuationSeparator/>
      </w:r>
    </w:p>
  </w:endnote>
  <w:endnote w:type="continuationNotice" w:id="1">
    <w:p w14:paraId="4107CE70" w14:textId="77777777" w:rsidR="0004473A" w:rsidRDefault="000447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04473A" w:rsidRDefault="000447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AFF6D" w14:textId="77777777" w:rsidR="0004473A" w:rsidRDefault="0004473A">
      <w:r>
        <w:separator/>
      </w:r>
    </w:p>
  </w:footnote>
  <w:footnote w:type="continuationSeparator" w:id="0">
    <w:p w14:paraId="6C9D3D55" w14:textId="77777777" w:rsidR="0004473A" w:rsidRDefault="0004473A">
      <w:r>
        <w:continuationSeparator/>
      </w:r>
    </w:p>
  </w:footnote>
  <w:footnote w:type="continuationNotice" w:id="1">
    <w:p w14:paraId="255A4C5C" w14:textId="77777777" w:rsidR="0004473A" w:rsidRDefault="000447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04473A" w:rsidRDefault="000447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7DC6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2A2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11D78"/>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72CFE"/>
    <w:multiLevelType w:val="hybridMultilevel"/>
    <w:tmpl w:val="D382D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3A34DA"/>
    <w:multiLevelType w:val="hybridMultilevel"/>
    <w:tmpl w:val="A56E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16B4B"/>
    <w:multiLevelType w:val="hybridMultilevel"/>
    <w:tmpl w:val="C884F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5608C"/>
    <w:multiLevelType w:val="hybridMultilevel"/>
    <w:tmpl w:val="D03AE4B8"/>
    <w:lvl w:ilvl="0" w:tplc="3208CA6A">
      <w:start w:val="1"/>
      <w:numFmt w:val="lowerLetter"/>
      <w:lvlText w:val="(%1)"/>
      <w:lvlJc w:val="left"/>
      <w:pPr>
        <w:ind w:left="6720" w:hanging="468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13" w15:restartNumberingAfterBreak="0">
    <w:nsid w:val="29BC3D14"/>
    <w:multiLevelType w:val="hybridMultilevel"/>
    <w:tmpl w:val="BD6C8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23E08"/>
    <w:multiLevelType w:val="hybridMultilevel"/>
    <w:tmpl w:val="B5F0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48598F"/>
    <w:multiLevelType w:val="hybridMultilevel"/>
    <w:tmpl w:val="B3AE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4B48AD"/>
    <w:multiLevelType w:val="hybridMultilevel"/>
    <w:tmpl w:val="9CD2976E"/>
    <w:lvl w:ilvl="0" w:tplc="CF709E96">
      <w:start w:val="1"/>
      <w:numFmt w:val="bullet"/>
      <w:lvlText w:val="●"/>
      <w:lvlJc w:val="left"/>
      <w:pPr>
        <w:tabs>
          <w:tab w:val="num" w:pos="720"/>
        </w:tabs>
        <w:ind w:left="720" w:hanging="360"/>
      </w:pPr>
      <w:rPr>
        <w:rFonts w:ascii="Ericsson Hilda" w:hAnsi="Ericsson Hilda" w:hint="default"/>
      </w:rPr>
    </w:lvl>
    <w:lvl w:ilvl="1" w:tplc="75465C96">
      <w:start w:val="1"/>
      <w:numFmt w:val="bullet"/>
      <w:lvlText w:val="●"/>
      <w:lvlJc w:val="left"/>
      <w:pPr>
        <w:tabs>
          <w:tab w:val="num" w:pos="1440"/>
        </w:tabs>
        <w:ind w:left="1440" w:hanging="360"/>
      </w:pPr>
      <w:rPr>
        <w:rFonts w:ascii="Ericsson Hilda" w:hAnsi="Ericsson Hilda" w:hint="default"/>
      </w:rPr>
    </w:lvl>
    <w:lvl w:ilvl="2" w:tplc="7C72B99A">
      <w:numFmt w:val="bullet"/>
      <w:lvlText w:val="●"/>
      <w:lvlJc w:val="left"/>
      <w:pPr>
        <w:tabs>
          <w:tab w:val="num" w:pos="2160"/>
        </w:tabs>
        <w:ind w:left="2160" w:hanging="360"/>
      </w:pPr>
      <w:rPr>
        <w:rFonts w:ascii="Ericsson Hilda" w:hAnsi="Ericsson Hilda" w:hint="default"/>
      </w:rPr>
    </w:lvl>
    <w:lvl w:ilvl="3" w:tplc="BC04717A" w:tentative="1">
      <w:start w:val="1"/>
      <w:numFmt w:val="bullet"/>
      <w:lvlText w:val="●"/>
      <w:lvlJc w:val="left"/>
      <w:pPr>
        <w:tabs>
          <w:tab w:val="num" w:pos="2880"/>
        </w:tabs>
        <w:ind w:left="2880" w:hanging="360"/>
      </w:pPr>
      <w:rPr>
        <w:rFonts w:ascii="Ericsson Hilda" w:hAnsi="Ericsson Hilda" w:hint="default"/>
      </w:rPr>
    </w:lvl>
    <w:lvl w:ilvl="4" w:tplc="F5DC8CC4" w:tentative="1">
      <w:start w:val="1"/>
      <w:numFmt w:val="bullet"/>
      <w:lvlText w:val="●"/>
      <w:lvlJc w:val="left"/>
      <w:pPr>
        <w:tabs>
          <w:tab w:val="num" w:pos="3600"/>
        </w:tabs>
        <w:ind w:left="3600" w:hanging="360"/>
      </w:pPr>
      <w:rPr>
        <w:rFonts w:ascii="Ericsson Hilda" w:hAnsi="Ericsson Hilda" w:hint="default"/>
      </w:rPr>
    </w:lvl>
    <w:lvl w:ilvl="5" w:tplc="A49C9D2A" w:tentative="1">
      <w:start w:val="1"/>
      <w:numFmt w:val="bullet"/>
      <w:lvlText w:val="●"/>
      <w:lvlJc w:val="left"/>
      <w:pPr>
        <w:tabs>
          <w:tab w:val="num" w:pos="4320"/>
        </w:tabs>
        <w:ind w:left="4320" w:hanging="360"/>
      </w:pPr>
      <w:rPr>
        <w:rFonts w:ascii="Ericsson Hilda" w:hAnsi="Ericsson Hilda" w:hint="default"/>
      </w:rPr>
    </w:lvl>
    <w:lvl w:ilvl="6" w:tplc="E4C01746" w:tentative="1">
      <w:start w:val="1"/>
      <w:numFmt w:val="bullet"/>
      <w:lvlText w:val="●"/>
      <w:lvlJc w:val="left"/>
      <w:pPr>
        <w:tabs>
          <w:tab w:val="num" w:pos="5040"/>
        </w:tabs>
        <w:ind w:left="5040" w:hanging="360"/>
      </w:pPr>
      <w:rPr>
        <w:rFonts w:ascii="Ericsson Hilda" w:hAnsi="Ericsson Hilda" w:hint="default"/>
      </w:rPr>
    </w:lvl>
    <w:lvl w:ilvl="7" w:tplc="4754B730" w:tentative="1">
      <w:start w:val="1"/>
      <w:numFmt w:val="bullet"/>
      <w:lvlText w:val="●"/>
      <w:lvlJc w:val="left"/>
      <w:pPr>
        <w:tabs>
          <w:tab w:val="num" w:pos="5760"/>
        </w:tabs>
        <w:ind w:left="5760" w:hanging="360"/>
      </w:pPr>
      <w:rPr>
        <w:rFonts w:ascii="Ericsson Hilda" w:hAnsi="Ericsson Hilda" w:hint="default"/>
      </w:rPr>
    </w:lvl>
    <w:lvl w:ilvl="8" w:tplc="28DCFBB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693D12"/>
    <w:multiLevelType w:val="hybridMultilevel"/>
    <w:tmpl w:val="5AEA5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C4D53"/>
    <w:multiLevelType w:val="hybridMultilevel"/>
    <w:tmpl w:val="556E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904EC"/>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584A2E"/>
    <w:multiLevelType w:val="hybridMultilevel"/>
    <w:tmpl w:val="20E2E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AD7257"/>
    <w:multiLevelType w:val="hybridMultilevel"/>
    <w:tmpl w:val="8D96483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23"/>
  </w:num>
  <w:num w:numId="2">
    <w:abstractNumId w:val="17"/>
  </w:num>
  <w:num w:numId="3">
    <w:abstractNumId w:val="2"/>
  </w:num>
  <w:num w:numId="4">
    <w:abstractNumId w:val="24"/>
  </w:num>
  <w:num w:numId="5">
    <w:abstractNumId w:val="25"/>
  </w:num>
  <w:num w:numId="6">
    <w:abstractNumId w:val="26"/>
  </w:num>
  <w:num w:numId="7">
    <w:abstractNumId w:val="8"/>
  </w:num>
  <w:num w:numId="8">
    <w:abstractNumId w:val="11"/>
  </w:num>
  <w:num w:numId="9">
    <w:abstractNumId w:val="5"/>
  </w:num>
  <w:num w:numId="10">
    <w:abstractNumId w:val="34"/>
  </w:num>
  <w:num w:numId="11">
    <w:abstractNumId w:val="15"/>
  </w:num>
  <w:num w:numId="12">
    <w:abstractNumId w:val="32"/>
  </w:num>
  <w:num w:numId="13">
    <w:abstractNumId w:val="4"/>
  </w:num>
  <w:num w:numId="14">
    <w:abstractNumId w:val="7"/>
  </w:num>
  <w:num w:numId="15">
    <w:abstractNumId w:val="35"/>
  </w:num>
  <w:num w:numId="16">
    <w:abstractNumId w:val="16"/>
  </w:num>
  <w:num w:numId="17">
    <w:abstractNumId w:val="13"/>
  </w:num>
  <w:num w:numId="18">
    <w:abstractNumId w:val="22"/>
  </w:num>
  <w:num w:numId="19">
    <w:abstractNumId w:val="18"/>
  </w:num>
  <w:num w:numId="20">
    <w:abstractNumId w:val="20"/>
  </w:num>
  <w:num w:numId="21">
    <w:abstractNumId w:val="6"/>
  </w:num>
  <w:num w:numId="22">
    <w:abstractNumId w:val="27"/>
  </w:num>
  <w:num w:numId="23">
    <w:abstractNumId w:val="28"/>
  </w:num>
  <w:num w:numId="24">
    <w:abstractNumId w:val="19"/>
  </w:num>
  <w:num w:numId="25">
    <w:abstractNumId w:val="12"/>
  </w:num>
  <w:num w:numId="26">
    <w:abstractNumId w:val="9"/>
  </w:num>
  <w:num w:numId="27">
    <w:abstractNumId w:val="14"/>
  </w:num>
  <w:num w:numId="28">
    <w:abstractNumId w:val="30"/>
  </w:num>
  <w:num w:numId="29">
    <w:abstractNumId w:val="33"/>
  </w:num>
  <w:num w:numId="30">
    <w:abstractNumId w:val="21"/>
  </w:num>
  <w:num w:numId="31">
    <w:abstractNumId w:val="31"/>
  </w:num>
  <w:num w:numId="32">
    <w:abstractNumId w:val="3"/>
  </w:num>
  <w:num w:numId="33">
    <w:abstractNumId w:val="29"/>
  </w:num>
  <w:num w:numId="34">
    <w:abstractNumId w:val="1"/>
  </w:num>
  <w:num w:numId="35">
    <w:abstractNumId w:val="0"/>
  </w:num>
  <w:num w:numId="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6"/>
    <w:rsid w:val="00002A37"/>
    <w:rsid w:val="00002BA3"/>
    <w:rsid w:val="0000564C"/>
    <w:rsid w:val="00006446"/>
    <w:rsid w:val="00006896"/>
    <w:rsid w:val="00007CDC"/>
    <w:rsid w:val="00011B28"/>
    <w:rsid w:val="00014237"/>
    <w:rsid w:val="00015D15"/>
    <w:rsid w:val="00016278"/>
    <w:rsid w:val="00016D3C"/>
    <w:rsid w:val="0002564D"/>
    <w:rsid w:val="00025ECA"/>
    <w:rsid w:val="00031A72"/>
    <w:rsid w:val="000325B8"/>
    <w:rsid w:val="00034C15"/>
    <w:rsid w:val="00036BA1"/>
    <w:rsid w:val="000422E2"/>
    <w:rsid w:val="00042D43"/>
    <w:rsid w:val="00042F22"/>
    <w:rsid w:val="000444EF"/>
    <w:rsid w:val="0004473A"/>
    <w:rsid w:val="00045393"/>
    <w:rsid w:val="00051369"/>
    <w:rsid w:val="00052A07"/>
    <w:rsid w:val="000534E3"/>
    <w:rsid w:val="000535B0"/>
    <w:rsid w:val="0005606A"/>
    <w:rsid w:val="00057117"/>
    <w:rsid w:val="000616E7"/>
    <w:rsid w:val="00064732"/>
    <w:rsid w:val="0006487E"/>
    <w:rsid w:val="00065E1A"/>
    <w:rsid w:val="000728DD"/>
    <w:rsid w:val="00074A58"/>
    <w:rsid w:val="00077E5F"/>
    <w:rsid w:val="0008036A"/>
    <w:rsid w:val="00081AE6"/>
    <w:rsid w:val="000855EB"/>
    <w:rsid w:val="00085B52"/>
    <w:rsid w:val="000866F2"/>
    <w:rsid w:val="00087D08"/>
    <w:rsid w:val="0009009F"/>
    <w:rsid w:val="00091557"/>
    <w:rsid w:val="000924C1"/>
    <w:rsid w:val="000924F0"/>
    <w:rsid w:val="00093474"/>
    <w:rsid w:val="00093970"/>
    <w:rsid w:val="0009510F"/>
    <w:rsid w:val="000A1B7B"/>
    <w:rsid w:val="000A327E"/>
    <w:rsid w:val="000A56F2"/>
    <w:rsid w:val="000A78FE"/>
    <w:rsid w:val="000B2719"/>
    <w:rsid w:val="000B3A8F"/>
    <w:rsid w:val="000B4AB9"/>
    <w:rsid w:val="000B58C3"/>
    <w:rsid w:val="000B61E9"/>
    <w:rsid w:val="000C165A"/>
    <w:rsid w:val="000C2E19"/>
    <w:rsid w:val="000C52D2"/>
    <w:rsid w:val="000D027A"/>
    <w:rsid w:val="000D0D07"/>
    <w:rsid w:val="000D19FA"/>
    <w:rsid w:val="000D4797"/>
    <w:rsid w:val="000D64EB"/>
    <w:rsid w:val="000E0444"/>
    <w:rsid w:val="000E0527"/>
    <w:rsid w:val="000E1E92"/>
    <w:rsid w:val="000E34E4"/>
    <w:rsid w:val="000F06D6"/>
    <w:rsid w:val="000F0EB1"/>
    <w:rsid w:val="000F1106"/>
    <w:rsid w:val="000F3BE9"/>
    <w:rsid w:val="000F3F6C"/>
    <w:rsid w:val="000F6DF3"/>
    <w:rsid w:val="001005FF"/>
    <w:rsid w:val="0010216B"/>
    <w:rsid w:val="001062FB"/>
    <w:rsid w:val="001063E6"/>
    <w:rsid w:val="00111C33"/>
    <w:rsid w:val="00113CF4"/>
    <w:rsid w:val="001153EA"/>
    <w:rsid w:val="00115643"/>
    <w:rsid w:val="00116765"/>
    <w:rsid w:val="001219F5"/>
    <w:rsid w:val="00121A20"/>
    <w:rsid w:val="00122F07"/>
    <w:rsid w:val="0012377F"/>
    <w:rsid w:val="00124314"/>
    <w:rsid w:val="00126B4A"/>
    <w:rsid w:val="00132FD0"/>
    <w:rsid w:val="001344C0"/>
    <w:rsid w:val="001346FA"/>
    <w:rsid w:val="00135252"/>
    <w:rsid w:val="00136986"/>
    <w:rsid w:val="00137AB5"/>
    <w:rsid w:val="00137F0B"/>
    <w:rsid w:val="00146F78"/>
    <w:rsid w:val="00151E23"/>
    <w:rsid w:val="001526E0"/>
    <w:rsid w:val="00154B17"/>
    <w:rsid w:val="001551B5"/>
    <w:rsid w:val="001578A2"/>
    <w:rsid w:val="001659C1"/>
    <w:rsid w:val="0017060B"/>
    <w:rsid w:val="001726ED"/>
    <w:rsid w:val="00173A8E"/>
    <w:rsid w:val="0017502C"/>
    <w:rsid w:val="00175429"/>
    <w:rsid w:val="00176D01"/>
    <w:rsid w:val="001777E7"/>
    <w:rsid w:val="0018143F"/>
    <w:rsid w:val="00181FF8"/>
    <w:rsid w:val="001874F5"/>
    <w:rsid w:val="00190AC1"/>
    <w:rsid w:val="0019341A"/>
    <w:rsid w:val="001954CA"/>
    <w:rsid w:val="00197DF9"/>
    <w:rsid w:val="001A1987"/>
    <w:rsid w:val="001A2564"/>
    <w:rsid w:val="001A6173"/>
    <w:rsid w:val="001A6CBA"/>
    <w:rsid w:val="001B0B9D"/>
    <w:rsid w:val="001B0D97"/>
    <w:rsid w:val="001B2C61"/>
    <w:rsid w:val="001B5A5D"/>
    <w:rsid w:val="001C1CE5"/>
    <w:rsid w:val="001C3D2A"/>
    <w:rsid w:val="001D51BA"/>
    <w:rsid w:val="001D53E7"/>
    <w:rsid w:val="001D5C2A"/>
    <w:rsid w:val="001D6342"/>
    <w:rsid w:val="001D6D53"/>
    <w:rsid w:val="001E2448"/>
    <w:rsid w:val="001E58E2"/>
    <w:rsid w:val="001E7AED"/>
    <w:rsid w:val="001F3916"/>
    <w:rsid w:val="001F3A94"/>
    <w:rsid w:val="001F54C5"/>
    <w:rsid w:val="001F662C"/>
    <w:rsid w:val="001F7074"/>
    <w:rsid w:val="00200490"/>
    <w:rsid w:val="00201F3A"/>
    <w:rsid w:val="002020BD"/>
    <w:rsid w:val="00203F96"/>
    <w:rsid w:val="00204241"/>
    <w:rsid w:val="0020484F"/>
    <w:rsid w:val="002069B2"/>
    <w:rsid w:val="00207FA3"/>
    <w:rsid w:val="00214DA8"/>
    <w:rsid w:val="00215423"/>
    <w:rsid w:val="002158FA"/>
    <w:rsid w:val="00215C47"/>
    <w:rsid w:val="00217E54"/>
    <w:rsid w:val="00220600"/>
    <w:rsid w:val="00222466"/>
    <w:rsid w:val="002224DB"/>
    <w:rsid w:val="00223FCB"/>
    <w:rsid w:val="002252C3"/>
    <w:rsid w:val="00225375"/>
    <w:rsid w:val="00225C54"/>
    <w:rsid w:val="00230683"/>
    <w:rsid w:val="00230765"/>
    <w:rsid w:val="00230C78"/>
    <w:rsid w:val="00230D18"/>
    <w:rsid w:val="002319E4"/>
    <w:rsid w:val="00235632"/>
    <w:rsid w:val="00235872"/>
    <w:rsid w:val="00241559"/>
    <w:rsid w:val="002435B3"/>
    <w:rsid w:val="002458EB"/>
    <w:rsid w:val="002500C8"/>
    <w:rsid w:val="002512E3"/>
    <w:rsid w:val="00252B48"/>
    <w:rsid w:val="00257543"/>
    <w:rsid w:val="002617E7"/>
    <w:rsid w:val="0026365A"/>
    <w:rsid w:val="00264228"/>
    <w:rsid w:val="00264334"/>
    <w:rsid w:val="0026473E"/>
    <w:rsid w:val="00266214"/>
    <w:rsid w:val="002666D4"/>
    <w:rsid w:val="002678A5"/>
    <w:rsid w:val="00267C83"/>
    <w:rsid w:val="0027144F"/>
    <w:rsid w:val="00271813"/>
    <w:rsid w:val="00271E65"/>
    <w:rsid w:val="00271F3A"/>
    <w:rsid w:val="00273278"/>
    <w:rsid w:val="002737F4"/>
    <w:rsid w:val="0028014E"/>
    <w:rsid w:val="002805F5"/>
    <w:rsid w:val="00280751"/>
    <w:rsid w:val="0028280A"/>
    <w:rsid w:val="00286ACD"/>
    <w:rsid w:val="00287838"/>
    <w:rsid w:val="002907B5"/>
    <w:rsid w:val="00292EB7"/>
    <w:rsid w:val="00296227"/>
    <w:rsid w:val="00296AF8"/>
    <w:rsid w:val="00296F44"/>
    <w:rsid w:val="0029777D"/>
    <w:rsid w:val="002A055E"/>
    <w:rsid w:val="002A1D4E"/>
    <w:rsid w:val="002A2869"/>
    <w:rsid w:val="002A5201"/>
    <w:rsid w:val="002A7F85"/>
    <w:rsid w:val="002B24D6"/>
    <w:rsid w:val="002C35CD"/>
    <w:rsid w:val="002C3F29"/>
    <w:rsid w:val="002C41E6"/>
    <w:rsid w:val="002D071A"/>
    <w:rsid w:val="002D34B2"/>
    <w:rsid w:val="002D3565"/>
    <w:rsid w:val="002D48B0"/>
    <w:rsid w:val="002D5B37"/>
    <w:rsid w:val="002D7637"/>
    <w:rsid w:val="002E17F2"/>
    <w:rsid w:val="002E7CAE"/>
    <w:rsid w:val="002F13E4"/>
    <w:rsid w:val="002F2771"/>
    <w:rsid w:val="002F37A9"/>
    <w:rsid w:val="00301CE6"/>
    <w:rsid w:val="0030256B"/>
    <w:rsid w:val="00302C7D"/>
    <w:rsid w:val="0030501F"/>
    <w:rsid w:val="00307BA1"/>
    <w:rsid w:val="00311702"/>
    <w:rsid w:val="00311E82"/>
    <w:rsid w:val="00313FD6"/>
    <w:rsid w:val="003143BD"/>
    <w:rsid w:val="00315363"/>
    <w:rsid w:val="003203ED"/>
    <w:rsid w:val="00322C9F"/>
    <w:rsid w:val="00324D23"/>
    <w:rsid w:val="00331751"/>
    <w:rsid w:val="00334579"/>
    <w:rsid w:val="00334E94"/>
    <w:rsid w:val="00335858"/>
    <w:rsid w:val="0033679B"/>
    <w:rsid w:val="00336BDA"/>
    <w:rsid w:val="00337397"/>
    <w:rsid w:val="00341473"/>
    <w:rsid w:val="00342BD7"/>
    <w:rsid w:val="00346DB5"/>
    <w:rsid w:val="003473E0"/>
    <w:rsid w:val="003477B1"/>
    <w:rsid w:val="00353E36"/>
    <w:rsid w:val="00357380"/>
    <w:rsid w:val="003602D9"/>
    <w:rsid w:val="003604CE"/>
    <w:rsid w:val="0037057A"/>
    <w:rsid w:val="00370E47"/>
    <w:rsid w:val="003742AC"/>
    <w:rsid w:val="00377CE1"/>
    <w:rsid w:val="00385003"/>
    <w:rsid w:val="00385567"/>
    <w:rsid w:val="00385BE6"/>
    <w:rsid w:val="00385BF0"/>
    <w:rsid w:val="00391E1D"/>
    <w:rsid w:val="00391FE1"/>
    <w:rsid w:val="00392220"/>
    <w:rsid w:val="003939FF"/>
    <w:rsid w:val="003940B5"/>
    <w:rsid w:val="003A2223"/>
    <w:rsid w:val="003A2A0F"/>
    <w:rsid w:val="003A45A1"/>
    <w:rsid w:val="003A5B0A"/>
    <w:rsid w:val="003A6BAC"/>
    <w:rsid w:val="003A70A4"/>
    <w:rsid w:val="003A7EF3"/>
    <w:rsid w:val="003B159C"/>
    <w:rsid w:val="003B369F"/>
    <w:rsid w:val="003B36A3"/>
    <w:rsid w:val="003B64BB"/>
    <w:rsid w:val="003B7B1D"/>
    <w:rsid w:val="003B7FE5"/>
    <w:rsid w:val="003C11C8"/>
    <w:rsid w:val="003C2702"/>
    <w:rsid w:val="003C6BA1"/>
    <w:rsid w:val="003C758F"/>
    <w:rsid w:val="003C7806"/>
    <w:rsid w:val="003D109F"/>
    <w:rsid w:val="003D2478"/>
    <w:rsid w:val="003D3C45"/>
    <w:rsid w:val="003D5B1F"/>
    <w:rsid w:val="003E15FA"/>
    <w:rsid w:val="003E55E4"/>
    <w:rsid w:val="003E74E3"/>
    <w:rsid w:val="003F05C7"/>
    <w:rsid w:val="003F2CD4"/>
    <w:rsid w:val="003F6BBE"/>
    <w:rsid w:val="003F7088"/>
    <w:rsid w:val="004000E8"/>
    <w:rsid w:val="004024C0"/>
    <w:rsid w:val="00402E2B"/>
    <w:rsid w:val="0040512B"/>
    <w:rsid w:val="00405AFD"/>
    <w:rsid w:val="00405CA5"/>
    <w:rsid w:val="00407CD3"/>
    <w:rsid w:val="00410134"/>
    <w:rsid w:val="00410B72"/>
    <w:rsid w:val="00410F18"/>
    <w:rsid w:val="0041263E"/>
    <w:rsid w:val="00413AAC"/>
    <w:rsid w:val="00413E92"/>
    <w:rsid w:val="00421105"/>
    <w:rsid w:val="00422AA4"/>
    <w:rsid w:val="004242F4"/>
    <w:rsid w:val="00427248"/>
    <w:rsid w:val="004311C7"/>
    <w:rsid w:val="00432239"/>
    <w:rsid w:val="00432E93"/>
    <w:rsid w:val="00437447"/>
    <w:rsid w:val="00441718"/>
    <w:rsid w:val="00441A92"/>
    <w:rsid w:val="004431DC"/>
    <w:rsid w:val="00444F56"/>
    <w:rsid w:val="00446488"/>
    <w:rsid w:val="004517AA"/>
    <w:rsid w:val="00452CAC"/>
    <w:rsid w:val="00457565"/>
    <w:rsid w:val="00457B71"/>
    <w:rsid w:val="00464689"/>
    <w:rsid w:val="004669E2"/>
    <w:rsid w:val="00466BC6"/>
    <w:rsid w:val="0046782C"/>
    <w:rsid w:val="00470C31"/>
    <w:rsid w:val="00471DE0"/>
    <w:rsid w:val="004734D0"/>
    <w:rsid w:val="00474E2F"/>
    <w:rsid w:val="0047556B"/>
    <w:rsid w:val="00477535"/>
    <w:rsid w:val="00477768"/>
    <w:rsid w:val="004838F5"/>
    <w:rsid w:val="00492BC5"/>
    <w:rsid w:val="00495459"/>
    <w:rsid w:val="004964F1"/>
    <w:rsid w:val="004A032A"/>
    <w:rsid w:val="004A0B5E"/>
    <w:rsid w:val="004A16BC"/>
    <w:rsid w:val="004A2B94"/>
    <w:rsid w:val="004A4663"/>
    <w:rsid w:val="004A77BF"/>
    <w:rsid w:val="004B12FD"/>
    <w:rsid w:val="004B3C58"/>
    <w:rsid w:val="004B6F6A"/>
    <w:rsid w:val="004B7C0C"/>
    <w:rsid w:val="004C2B74"/>
    <w:rsid w:val="004C32D4"/>
    <w:rsid w:val="004C3898"/>
    <w:rsid w:val="004D36B1"/>
    <w:rsid w:val="004D382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02D"/>
    <w:rsid w:val="005153A7"/>
    <w:rsid w:val="00517786"/>
    <w:rsid w:val="005219CF"/>
    <w:rsid w:val="00534473"/>
    <w:rsid w:val="00534B59"/>
    <w:rsid w:val="00536759"/>
    <w:rsid w:val="00537819"/>
    <w:rsid w:val="00537C62"/>
    <w:rsid w:val="00546970"/>
    <w:rsid w:val="0055377F"/>
    <w:rsid w:val="00554E19"/>
    <w:rsid w:val="00557A3F"/>
    <w:rsid w:val="0056121F"/>
    <w:rsid w:val="0056423F"/>
    <w:rsid w:val="00572505"/>
    <w:rsid w:val="00582809"/>
    <w:rsid w:val="0058356F"/>
    <w:rsid w:val="0058798C"/>
    <w:rsid w:val="005900FA"/>
    <w:rsid w:val="005935A4"/>
    <w:rsid w:val="005948C2"/>
    <w:rsid w:val="00595DCA"/>
    <w:rsid w:val="0059779B"/>
    <w:rsid w:val="005A15A4"/>
    <w:rsid w:val="005A209A"/>
    <w:rsid w:val="005A662D"/>
    <w:rsid w:val="005A6852"/>
    <w:rsid w:val="005B063F"/>
    <w:rsid w:val="005B1409"/>
    <w:rsid w:val="005B1E65"/>
    <w:rsid w:val="005B35D7"/>
    <w:rsid w:val="005B392A"/>
    <w:rsid w:val="005B3AA3"/>
    <w:rsid w:val="005B5BC0"/>
    <w:rsid w:val="005B6F83"/>
    <w:rsid w:val="005C74FB"/>
    <w:rsid w:val="005D0D46"/>
    <w:rsid w:val="005D1602"/>
    <w:rsid w:val="005D3691"/>
    <w:rsid w:val="005E385F"/>
    <w:rsid w:val="005E5B81"/>
    <w:rsid w:val="005F1B64"/>
    <w:rsid w:val="005F1E48"/>
    <w:rsid w:val="005F1FF3"/>
    <w:rsid w:val="005F2CB1"/>
    <w:rsid w:val="005F3025"/>
    <w:rsid w:val="005F4523"/>
    <w:rsid w:val="005F45E0"/>
    <w:rsid w:val="005F618C"/>
    <w:rsid w:val="005F70BD"/>
    <w:rsid w:val="005F774A"/>
    <w:rsid w:val="0060283C"/>
    <w:rsid w:val="00604F14"/>
    <w:rsid w:val="006105E5"/>
    <w:rsid w:val="00611B83"/>
    <w:rsid w:val="00613257"/>
    <w:rsid w:val="0061569D"/>
    <w:rsid w:val="006206CE"/>
    <w:rsid w:val="00620A71"/>
    <w:rsid w:val="00620D80"/>
    <w:rsid w:val="0062154A"/>
    <w:rsid w:val="0062213A"/>
    <w:rsid w:val="006234A6"/>
    <w:rsid w:val="00630001"/>
    <w:rsid w:val="006311B3"/>
    <w:rsid w:val="0063284C"/>
    <w:rsid w:val="00634821"/>
    <w:rsid w:val="00636398"/>
    <w:rsid w:val="006368D3"/>
    <w:rsid w:val="006377EC"/>
    <w:rsid w:val="0064151F"/>
    <w:rsid w:val="00641533"/>
    <w:rsid w:val="0064208D"/>
    <w:rsid w:val="00642566"/>
    <w:rsid w:val="00643475"/>
    <w:rsid w:val="0064396A"/>
    <w:rsid w:val="006455DF"/>
    <w:rsid w:val="0064624E"/>
    <w:rsid w:val="00650AB9"/>
    <w:rsid w:val="00655733"/>
    <w:rsid w:val="00655ACD"/>
    <w:rsid w:val="00656A92"/>
    <w:rsid w:val="00656DDE"/>
    <w:rsid w:val="0066011D"/>
    <w:rsid w:val="006607C0"/>
    <w:rsid w:val="00660C34"/>
    <w:rsid w:val="006613A6"/>
    <w:rsid w:val="006627A2"/>
    <w:rsid w:val="006634E6"/>
    <w:rsid w:val="006655EE"/>
    <w:rsid w:val="00667EE7"/>
    <w:rsid w:val="00670922"/>
    <w:rsid w:val="00670BE1"/>
    <w:rsid w:val="0067218F"/>
    <w:rsid w:val="006741F2"/>
    <w:rsid w:val="00674CC3"/>
    <w:rsid w:val="00675C72"/>
    <w:rsid w:val="00676890"/>
    <w:rsid w:val="006771F9"/>
    <w:rsid w:val="006776D7"/>
    <w:rsid w:val="0067794F"/>
    <w:rsid w:val="00681003"/>
    <w:rsid w:val="006817C9"/>
    <w:rsid w:val="00681D06"/>
    <w:rsid w:val="00683ECE"/>
    <w:rsid w:val="00690239"/>
    <w:rsid w:val="0069079D"/>
    <w:rsid w:val="00692897"/>
    <w:rsid w:val="00695FC2"/>
    <w:rsid w:val="00696949"/>
    <w:rsid w:val="00697052"/>
    <w:rsid w:val="006A23A9"/>
    <w:rsid w:val="006A30B3"/>
    <w:rsid w:val="006A4114"/>
    <w:rsid w:val="006A46FB"/>
    <w:rsid w:val="006A5E28"/>
    <w:rsid w:val="006A697B"/>
    <w:rsid w:val="006A7AFF"/>
    <w:rsid w:val="006B1816"/>
    <w:rsid w:val="006B1DBE"/>
    <w:rsid w:val="006B2099"/>
    <w:rsid w:val="006B50CF"/>
    <w:rsid w:val="006B5AD9"/>
    <w:rsid w:val="006B7DA5"/>
    <w:rsid w:val="006C03B8"/>
    <w:rsid w:val="006C5CC1"/>
    <w:rsid w:val="006C5EC9"/>
    <w:rsid w:val="006C6059"/>
    <w:rsid w:val="006C67AF"/>
    <w:rsid w:val="006C7522"/>
    <w:rsid w:val="006D4994"/>
    <w:rsid w:val="006D6F08"/>
    <w:rsid w:val="006E062C"/>
    <w:rsid w:val="006E0DB6"/>
    <w:rsid w:val="006E1C82"/>
    <w:rsid w:val="006E28B7"/>
    <w:rsid w:val="006E2A9B"/>
    <w:rsid w:val="006E3310"/>
    <w:rsid w:val="006E4E39"/>
    <w:rsid w:val="006E565E"/>
    <w:rsid w:val="006E673D"/>
    <w:rsid w:val="006E7D3B"/>
    <w:rsid w:val="006F1B70"/>
    <w:rsid w:val="006F341D"/>
    <w:rsid w:val="006F3785"/>
    <w:rsid w:val="006F3CDE"/>
    <w:rsid w:val="006F58D4"/>
    <w:rsid w:val="006F5B0D"/>
    <w:rsid w:val="006F6582"/>
    <w:rsid w:val="006F7513"/>
    <w:rsid w:val="0070346E"/>
    <w:rsid w:val="00704EDB"/>
    <w:rsid w:val="00706101"/>
    <w:rsid w:val="00707072"/>
    <w:rsid w:val="00707D61"/>
    <w:rsid w:val="00712287"/>
    <w:rsid w:val="00712772"/>
    <w:rsid w:val="007148D3"/>
    <w:rsid w:val="00715B9A"/>
    <w:rsid w:val="00721B32"/>
    <w:rsid w:val="007224E6"/>
    <w:rsid w:val="007257D0"/>
    <w:rsid w:val="00725BB7"/>
    <w:rsid w:val="00726CEC"/>
    <w:rsid w:val="00726EA6"/>
    <w:rsid w:val="00727208"/>
    <w:rsid w:val="00727680"/>
    <w:rsid w:val="00727D68"/>
    <w:rsid w:val="007348B1"/>
    <w:rsid w:val="007362A6"/>
    <w:rsid w:val="00736D7D"/>
    <w:rsid w:val="00740E58"/>
    <w:rsid w:val="007445A0"/>
    <w:rsid w:val="0074524B"/>
    <w:rsid w:val="007453CA"/>
    <w:rsid w:val="00746BB4"/>
    <w:rsid w:val="00747D8B"/>
    <w:rsid w:val="00751228"/>
    <w:rsid w:val="00754E19"/>
    <w:rsid w:val="007571E1"/>
    <w:rsid w:val="0075750D"/>
    <w:rsid w:val="007604B2"/>
    <w:rsid w:val="00762D2E"/>
    <w:rsid w:val="00765281"/>
    <w:rsid w:val="007656DD"/>
    <w:rsid w:val="00765F41"/>
    <w:rsid w:val="00766BAD"/>
    <w:rsid w:val="007729A2"/>
    <w:rsid w:val="007739A6"/>
    <w:rsid w:val="00773D0D"/>
    <w:rsid w:val="00775122"/>
    <w:rsid w:val="007755F2"/>
    <w:rsid w:val="00776971"/>
    <w:rsid w:val="00780A80"/>
    <w:rsid w:val="0078177E"/>
    <w:rsid w:val="0078304C"/>
    <w:rsid w:val="00783673"/>
    <w:rsid w:val="007847CF"/>
    <w:rsid w:val="00785490"/>
    <w:rsid w:val="00786869"/>
    <w:rsid w:val="00787D6D"/>
    <w:rsid w:val="007925EA"/>
    <w:rsid w:val="00793CD8"/>
    <w:rsid w:val="00795C92"/>
    <w:rsid w:val="00796231"/>
    <w:rsid w:val="007A1912"/>
    <w:rsid w:val="007A1CB3"/>
    <w:rsid w:val="007A306F"/>
    <w:rsid w:val="007A43A6"/>
    <w:rsid w:val="007A44B6"/>
    <w:rsid w:val="007A58A6"/>
    <w:rsid w:val="007A5E96"/>
    <w:rsid w:val="007B29D4"/>
    <w:rsid w:val="007B3D2D"/>
    <w:rsid w:val="007B50AE"/>
    <w:rsid w:val="007B51DF"/>
    <w:rsid w:val="007C05DD"/>
    <w:rsid w:val="007C386E"/>
    <w:rsid w:val="007C3D18"/>
    <w:rsid w:val="007C4B2A"/>
    <w:rsid w:val="007C5A39"/>
    <w:rsid w:val="007C60BF"/>
    <w:rsid w:val="007C6A07"/>
    <w:rsid w:val="007C75A1"/>
    <w:rsid w:val="007C77A5"/>
    <w:rsid w:val="007D04E5"/>
    <w:rsid w:val="007D5901"/>
    <w:rsid w:val="007D7526"/>
    <w:rsid w:val="007E0617"/>
    <w:rsid w:val="007E262E"/>
    <w:rsid w:val="007E4610"/>
    <w:rsid w:val="007E4715"/>
    <w:rsid w:val="007E4A9A"/>
    <w:rsid w:val="007E505B"/>
    <w:rsid w:val="007E6F83"/>
    <w:rsid w:val="007E7091"/>
    <w:rsid w:val="007E70B2"/>
    <w:rsid w:val="00803FAE"/>
    <w:rsid w:val="0080605F"/>
    <w:rsid w:val="00807786"/>
    <w:rsid w:val="008106CE"/>
    <w:rsid w:val="00811FCB"/>
    <w:rsid w:val="00812AB3"/>
    <w:rsid w:val="008142B7"/>
    <w:rsid w:val="008158D6"/>
    <w:rsid w:val="00817196"/>
    <w:rsid w:val="00817D11"/>
    <w:rsid w:val="008235DB"/>
    <w:rsid w:val="00824AB4"/>
    <w:rsid w:val="00825236"/>
    <w:rsid w:val="00825C42"/>
    <w:rsid w:val="00825D25"/>
    <w:rsid w:val="00827D6F"/>
    <w:rsid w:val="0083546B"/>
    <w:rsid w:val="0083689C"/>
    <w:rsid w:val="008376AC"/>
    <w:rsid w:val="00837A4B"/>
    <w:rsid w:val="008444E8"/>
    <w:rsid w:val="00844E80"/>
    <w:rsid w:val="00846FE7"/>
    <w:rsid w:val="008547A6"/>
    <w:rsid w:val="00856911"/>
    <w:rsid w:val="00861622"/>
    <w:rsid w:val="00864662"/>
    <w:rsid w:val="00866C58"/>
    <w:rsid w:val="008677FD"/>
    <w:rsid w:val="008706D4"/>
    <w:rsid w:val="00870F8A"/>
    <w:rsid w:val="008719A4"/>
    <w:rsid w:val="00871D23"/>
    <w:rsid w:val="0087238A"/>
    <w:rsid w:val="00873726"/>
    <w:rsid w:val="00874312"/>
    <w:rsid w:val="0087437C"/>
    <w:rsid w:val="00875CD7"/>
    <w:rsid w:val="00876B4D"/>
    <w:rsid w:val="00877F18"/>
    <w:rsid w:val="008809E8"/>
    <w:rsid w:val="00883926"/>
    <w:rsid w:val="00885242"/>
    <w:rsid w:val="008941E3"/>
    <w:rsid w:val="00894A88"/>
    <w:rsid w:val="00895386"/>
    <w:rsid w:val="008A21FF"/>
    <w:rsid w:val="008A293E"/>
    <w:rsid w:val="008A2CE2"/>
    <w:rsid w:val="008A30AC"/>
    <w:rsid w:val="008A44B8"/>
    <w:rsid w:val="008A51A8"/>
    <w:rsid w:val="008A54C7"/>
    <w:rsid w:val="008A77D8"/>
    <w:rsid w:val="008B0483"/>
    <w:rsid w:val="008B120C"/>
    <w:rsid w:val="008B51A0"/>
    <w:rsid w:val="008B592A"/>
    <w:rsid w:val="008B7B5C"/>
    <w:rsid w:val="008B7C9A"/>
    <w:rsid w:val="008C0C99"/>
    <w:rsid w:val="008C0E7F"/>
    <w:rsid w:val="008C1FE3"/>
    <w:rsid w:val="008C2017"/>
    <w:rsid w:val="008C4958"/>
    <w:rsid w:val="008C4BAA"/>
    <w:rsid w:val="008C6345"/>
    <w:rsid w:val="008C66E6"/>
    <w:rsid w:val="008C6AE8"/>
    <w:rsid w:val="008C7573"/>
    <w:rsid w:val="008D00A5"/>
    <w:rsid w:val="008D34F1"/>
    <w:rsid w:val="008D39D8"/>
    <w:rsid w:val="008D6D1A"/>
    <w:rsid w:val="008D727D"/>
    <w:rsid w:val="008D76F2"/>
    <w:rsid w:val="008E065E"/>
    <w:rsid w:val="008E0927"/>
    <w:rsid w:val="008E0BE3"/>
    <w:rsid w:val="008E1909"/>
    <w:rsid w:val="008E237A"/>
    <w:rsid w:val="008E5CB8"/>
    <w:rsid w:val="008F1C4E"/>
    <w:rsid w:val="008F1EAB"/>
    <w:rsid w:val="008F33DC"/>
    <w:rsid w:val="008F477F"/>
    <w:rsid w:val="008F59F3"/>
    <w:rsid w:val="00901B3C"/>
    <w:rsid w:val="00902350"/>
    <w:rsid w:val="0090336B"/>
    <w:rsid w:val="009053AA"/>
    <w:rsid w:val="009057A9"/>
    <w:rsid w:val="00906939"/>
    <w:rsid w:val="00906AD8"/>
    <w:rsid w:val="00910B7D"/>
    <w:rsid w:val="00910F52"/>
    <w:rsid w:val="00911DFB"/>
    <w:rsid w:val="00912D2E"/>
    <w:rsid w:val="009139D9"/>
    <w:rsid w:val="00914AD8"/>
    <w:rsid w:val="00916079"/>
    <w:rsid w:val="00916528"/>
    <w:rsid w:val="0091792F"/>
    <w:rsid w:val="00917CE9"/>
    <w:rsid w:val="00917D7F"/>
    <w:rsid w:val="0092075B"/>
    <w:rsid w:val="00920BF2"/>
    <w:rsid w:val="009218CF"/>
    <w:rsid w:val="00922010"/>
    <w:rsid w:val="00931BD9"/>
    <w:rsid w:val="0093680A"/>
    <w:rsid w:val="009368F3"/>
    <w:rsid w:val="00941636"/>
    <w:rsid w:val="00943742"/>
    <w:rsid w:val="00944FC1"/>
    <w:rsid w:val="00945C05"/>
    <w:rsid w:val="00946945"/>
    <w:rsid w:val="00947713"/>
    <w:rsid w:val="00950DE7"/>
    <w:rsid w:val="0095230D"/>
    <w:rsid w:val="00953920"/>
    <w:rsid w:val="00953D47"/>
    <w:rsid w:val="0095681E"/>
    <w:rsid w:val="009572D4"/>
    <w:rsid w:val="00957ED1"/>
    <w:rsid w:val="00961921"/>
    <w:rsid w:val="00962D2A"/>
    <w:rsid w:val="0096430A"/>
    <w:rsid w:val="0096554B"/>
    <w:rsid w:val="0096584A"/>
    <w:rsid w:val="00966C88"/>
    <w:rsid w:val="00971F08"/>
    <w:rsid w:val="009756CD"/>
    <w:rsid w:val="0097603D"/>
    <w:rsid w:val="00976949"/>
    <w:rsid w:val="00980477"/>
    <w:rsid w:val="00980731"/>
    <w:rsid w:val="00985253"/>
    <w:rsid w:val="009853B3"/>
    <w:rsid w:val="00990630"/>
    <w:rsid w:val="00991761"/>
    <w:rsid w:val="00994DCA"/>
    <w:rsid w:val="009960EC"/>
    <w:rsid w:val="009970DD"/>
    <w:rsid w:val="009A0FBA"/>
    <w:rsid w:val="009A1601"/>
    <w:rsid w:val="009A2CCD"/>
    <w:rsid w:val="009A3BB6"/>
    <w:rsid w:val="009A462D"/>
    <w:rsid w:val="009A5CBA"/>
    <w:rsid w:val="009B1F30"/>
    <w:rsid w:val="009B3AC2"/>
    <w:rsid w:val="009B4DF4"/>
    <w:rsid w:val="009B564E"/>
    <w:rsid w:val="009B7E87"/>
    <w:rsid w:val="009C0169"/>
    <w:rsid w:val="009C197E"/>
    <w:rsid w:val="009C403E"/>
    <w:rsid w:val="009C5B5A"/>
    <w:rsid w:val="009C5DD6"/>
    <w:rsid w:val="009D210A"/>
    <w:rsid w:val="009D4FF0"/>
    <w:rsid w:val="009D703C"/>
    <w:rsid w:val="009D718F"/>
    <w:rsid w:val="009E068F"/>
    <w:rsid w:val="009E14E0"/>
    <w:rsid w:val="009E196A"/>
    <w:rsid w:val="009E35DB"/>
    <w:rsid w:val="009E47A3"/>
    <w:rsid w:val="009F08F3"/>
    <w:rsid w:val="009F344F"/>
    <w:rsid w:val="00A00A7B"/>
    <w:rsid w:val="00A00CC5"/>
    <w:rsid w:val="00A031D8"/>
    <w:rsid w:val="00A048A8"/>
    <w:rsid w:val="00A04F49"/>
    <w:rsid w:val="00A13E54"/>
    <w:rsid w:val="00A17F63"/>
    <w:rsid w:val="00A2193B"/>
    <w:rsid w:val="00A2351A"/>
    <w:rsid w:val="00A260F4"/>
    <w:rsid w:val="00A264A9"/>
    <w:rsid w:val="00A26DCF"/>
    <w:rsid w:val="00A27785"/>
    <w:rsid w:val="00A30187"/>
    <w:rsid w:val="00A33E57"/>
    <w:rsid w:val="00A3448A"/>
    <w:rsid w:val="00A36297"/>
    <w:rsid w:val="00A406CE"/>
    <w:rsid w:val="00A41E2B"/>
    <w:rsid w:val="00A45B74"/>
    <w:rsid w:val="00A45CFB"/>
    <w:rsid w:val="00A50929"/>
    <w:rsid w:val="00A52E1D"/>
    <w:rsid w:val="00A53BDD"/>
    <w:rsid w:val="00A61499"/>
    <w:rsid w:val="00A62A77"/>
    <w:rsid w:val="00A63483"/>
    <w:rsid w:val="00A63840"/>
    <w:rsid w:val="00A657D7"/>
    <w:rsid w:val="00A660AC"/>
    <w:rsid w:val="00A665FD"/>
    <w:rsid w:val="00A67E6C"/>
    <w:rsid w:val="00A71B99"/>
    <w:rsid w:val="00A734F9"/>
    <w:rsid w:val="00A7372C"/>
    <w:rsid w:val="00A739D0"/>
    <w:rsid w:val="00A761D4"/>
    <w:rsid w:val="00A7719E"/>
    <w:rsid w:val="00A77EC4"/>
    <w:rsid w:val="00A827E4"/>
    <w:rsid w:val="00A837E1"/>
    <w:rsid w:val="00A92879"/>
    <w:rsid w:val="00A93E95"/>
    <w:rsid w:val="00A9442A"/>
    <w:rsid w:val="00A97E91"/>
    <w:rsid w:val="00AA016F"/>
    <w:rsid w:val="00AA134C"/>
    <w:rsid w:val="00AA1ED6"/>
    <w:rsid w:val="00AA51D6"/>
    <w:rsid w:val="00AB0BC8"/>
    <w:rsid w:val="00AB11CA"/>
    <w:rsid w:val="00AB14D9"/>
    <w:rsid w:val="00AB43ED"/>
    <w:rsid w:val="00AB4AB8"/>
    <w:rsid w:val="00AB4CF0"/>
    <w:rsid w:val="00AB655E"/>
    <w:rsid w:val="00AB77FD"/>
    <w:rsid w:val="00AC007F"/>
    <w:rsid w:val="00AC2ECD"/>
    <w:rsid w:val="00AC3119"/>
    <w:rsid w:val="00AC47B5"/>
    <w:rsid w:val="00AC4959"/>
    <w:rsid w:val="00AC49FB"/>
    <w:rsid w:val="00AC5A10"/>
    <w:rsid w:val="00AC5D30"/>
    <w:rsid w:val="00AD0AA3"/>
    <w:rsid w:val="00AD2ED0"/>
    <w:rsid w:val="00AD3F94"/>
    <w:rsid w:val="00AD4A5A"/>
    <w:rsid w:val="00AE27AC"/>
    <w:rsid w:val="00AE40E0"/>
    <w:rsid w:val="00AE4DBA"/>
    <w:rsid w:val="00AE4F07"/>
    <w:rsid w:val="00AE5DEA"/>
    <w:rsid w:val="00AF1AD5"/>
    <w:rsid w:val="00AF1C5D"/>
    <w:rsid w:val="00AF28E5"/>
    <w:rsid w:val="00AF42D7"/>
    <w:rsid w:val="00AF56A8"/>
    <w:rsid w:val="00B006FE"/>
    <w:rsid w:val="00B007CB"/>
    <w:rsid w:val="00B01DA9"/>
    <w:rsid w:val="00B0274F"/>
    <w:rsid w:val="00B02AA9"/>
    <w:rsid w:val="00B02FA3"/>
    <w:rsid w:val="00B05084"/>
    <w:rsid w:val="00B13266"/>
    <w:rsid w:val="00B157F9"/>
    <w:rsid w:val="00B20256"/>
    <w:rsid w:val="00B20D09"/>
    <w:rsid w:val="00B23917"/>
    <w:rsid w:val="00B2763F"/>
    <w:rsid w:val="00B27AAC"/>
    <w:rsid w:val="00B30929"/>
    <w:rsid w:val="00B371B9"/>
    <w:rsid w:val="00B372AA"/>
    <w:rsid w:val="00B40445"/>
    <w:rsid w:val="00B409E0"/>
    <w:rsid w:val="00B41888"/>
    <w:rsid w:val="00B4431C"/>
    <w:rsid w:val="00B45A52"/>
    <w:rsid w:val="00B46175"/>
    <w:rsid w:val="00B548B7"/>
    <w:rsid w:val="00B551F2"/>
    <w:rsid w:val="00B664C7"/>
    <w:rsid w:val="00B713D8"/>
    <w:rsid w:val="00B71BD8"/>
    <w:rsid w:val="00B72703"/>
    <w:rsid w:val="00B739F6"/>
    <w:rsid w:val="00B74E36"/>
    <w:rsid w:val="00B77891"/>
    <w:rsid w:val="00B80E6D"/>
    <w:rsid w:val="00B81A6C"/>
    <w:rsid w:val="00B85DE5"/>
    <w:rsid w:val="00B8687F"/>
    <w:rsid w:val="00B90F73"/>
    <w:rsid w:val="00B9112D"/>
    <w:rsid w:val="00B93B59"/>
    <w:rsid w:val="00B9406A"/>
    <w:rsid w:val="00B969F7"/>
    <w:rsid w:val="00B96CD8"/>
    <w:rsid w:val="00BA225F"/>
    <w:rsid w:val="00BA2280"/>
    <w:rsid w:val="00BA2A08"/>
    <w:rsid w:val="00BA3D21"/>
    <w:rsid w:val="00BA56D2"/>
    <w:rsid w:val="00BA76E0"/>
    <w:rsid w:val="00BB2A25"/>
    <w:rsid w:val="00BB51E9"/>
    <w:rsid w:val="00BC0FDC"/>
    <w:rsid w:val="00BC3053"/>
    <w:rsid w:val="00BC4D2E"/>
    <w:rsid w:val="00BC7778"/>
    <w:rsid w:val="00BD48AC"/>
    <w:rsid w:val="00BD5F1A"/>
    <w:rsid w:val="00BE118B"/>
    <w:rsid w:val="00BE1234"/>
    <w:rsid w:val="00BE2FA6"/>
    <w:rsid w:val="00BE333F"/>
    <w:rsid w:val="00BE3D41"/>
    <w:rsid w:val="00BE4E92"/>
    <w:rsid w:val="00BE68B1"/>
    <w:rsid w:val="00BE7406"/>
    <w:rsid w:val="00BE74CA"/>
    <w:rsid w:val="00BE7603"/>
    <w:rsid w:val="00BF1CB2"/>
    <w:rsid w:val="00BF29BF"/>
    <w:rsid w:val="00BF3279"/>
    <w:rsid w:val="00BF494D"/>
    <w:rsid w:val="00BF74C7"/>
    <w:rsid w:val="00C015F1"/>
    <w:rsid w:val="00C01F33"/>
    <w:rsid w:val="00C02CC6"/>
    <w:rsid w:val="00C040F7"/>
    <w:rsid w:val="00C044AB"/>
    <w:rsid w:val="00C05625"/>
    <w:rsid w:val="00C05706"/>
    <w:rsid w:val="00C07377"/>
    <w:rsid w:val="00C10478"/>
    <w:rsid w:val="00C107DA"/>
    <w:rsid w:val="00C12107"/>
    <w:rsid w:val="00C14D4B"/>
    <w:rsid w:val="00C154BB"/>
    <w:rsid w:val="00C22EF4"/>
    <w:rsid w:val="00C279B5"/>
    <w:rsid w:val="00C27C45"/>
    <w:rsid w:val="00C34C13"/>
    <w:rsid w:val="00C3719D"/>
    <w:rsid w:val="00C37CB2"/>
    <w:rsid w:val="00C40DD9"/>
    <w:rsid w:val="00C473A5"/>
    <w:rsid w:val="00C54995"/>
    <w:rsid w:val="00C54D41"/>
    <w:rsid w:val="00C56475"/>
    <w:rsid w:val="00C60783"/>
    <w:rsid w:val="00C64672"/>
    <w:rsid w:val="00C70697"/>
    <w:rsid w:val="00C72093"/>
    <w:rsid w:val="00C72EF4"/>
    <w:rsid w:val="00C744FE"/>
    <w:rsid w:val="00C75363"/>
    <w:rsid w:val="00C75D2F"/>
    <w:rsid w:val="00C767BE"/>
    <w:rsid w:val="00C76E3C"/>
    <w:rsid w:val="00C80271"/>
    <w:rsid w:val="00C81568"/>
    <w:rsid w:val="00C9027A"/>
    <w:rsid w:val="00C9068E"/>
    <w:rsid w:val="00C90907"/>
    <w:rsid w:val="00C91D3E"/>
    <w:rsid w:val="00C924EA"/>
    <w:rsid w:val="00C93814"/>
    <w:rsid w:val="00C93C4B"/>
    <w:rsid w:val="00C944AB"/>
    <w:rsid w:val="00C94BB2"/>
    <w:rsid w:val="00C95B40"/>
    <w:rsid w:val="00C95F6A"/>
    <w:rsid w:val="00C97741"/>
    <w:rsid w:val="00CA1ED8"/>
    <w:rsid w:val="00CA59CD"/>
    <w:rsid w:val="00CA6634"/>
    <w:rsid w:val="00CB1F63"/>
    <w:rsid w:val="00CB21A0"/>
    <w:rsid w:val="00CB3A3E"/>
    <w:rsid w:val="00CB7170"/>
    <w:rsid w:val="00CC040E"/>
    <w:rsid w:val="00CC111F"/>
    <w:rsid w:val="00CC2011"/>
    <w:rsid w:val="00CC3EA0"/>
    <w:rsid w:val="00CC53AE"/>
    <w:rsid w:val="00CC6E10"/>
    <w:rsid w:val="00CC7B45"/>
    <w:rsid w:val="00CD1188"/>
    <w:rsid w:val="00CD2BFC"/>
    <w:rsid w:val="00CD2ED1"/>
    <w:rsid w:val="00CD337B"/>
    <w:rsid w:val="00CD4064"/>
    <w:rsid w:val="00CE0338"/>
    <w:rsid w:val="00CE0424"/>
    <w:rsid w:val="00CE1C89"/>
    <w:rsid w:val="00CE673E"/>
    <w:rsid w:val="00CE7561"/>
    <w:rsid w:val="00CF1354"/>
    <w:rsid w:val="00CF3B1F"/>
    <w:rsid w:val="00CF3BF6"/>
    <w:rsid w:val="00CF625B"/>
    <w:rsid w:val="00CF687E"/>
    <w:rsid w:val="00D00DD4"/>
    <w:rsid w:val="00D0331A"/>
    <w:rsid w:val="00D0349B"/>
    <w:rsid w:val="00D06E4A"/>
    <w:rsid w:val="00D075D1"/>
    <w:rsid w:val="00D10249"/>
    <w:rsid w:val="00D115C3"/>
    <w:rsid w:val="00D11897"/>
    <w:rsid w:val="00D11BBB"/>
    <w:rsid w:val="00D13135"/>
    <w:rsid w:val="00D13E4E"/>
    <w:rsid w:val="00D239A7"/>
    <w:rsid w:val="00D23F47"/>
    <w:rsid w:val="00D36E71"/>
    <w:rsid w:val="00D37D87"/>
    <w:rsid w:val="00D40B33"/>
    <w:rsid w:val="00D4318F"/>
    <w:rsid w:val="00D438BF"/>
    <w:rsid w:val="00D440F8"/>
    <w:rsid w:val="00D459C0"/>
    <w:rsid w:val="00D511F6"/>
    <w:rsid w:val="00D546FF"/>
    <w:rsid w:val="00D55AD5"/>
    <w:rsid w:val="00D576CA"/>
    <w:rsid w:val="00D61755"/>
    <w:rsid w:val="00D61AF5"/>
    <w:rsid w:val="00D65100"/>
    <w:rsid w:val="00D652B5"/>
    <w:rsid w:val="00D66155"/>
    <w:rsid w:val="00D708B0"/>
    <w:rsid w:val="00D7243A"/>
    <w:rsid w:val="00D756F7"/>
    <w:rsid w:val="00D75CE7"/>
    <w:rsid w:val="00D77B1D"/>
    <w:rsid w:val="00D8021F"/>
    <w:rsid w:val="00D80383"/>
    <w:rsid w:val="00D818B4"/>
    <w:rsid w:val="00D823C6"/>
    <w:rsid w:val="00D83187"/>
    <w:rsid w:val="00D8327F"/>
    <w:rsid w:val="00D86CA3"/>
    <w:rsid w:val="00D871CE"/>
    <w:rsid w:val="00D9196D"/>
    <w:rsid w:val="00D92982"/>
    <w:rsid w:val="00D94F85"/>
    <w:rsid w:val="00DA1045"/>
    <w:rsid w:val="00DA305E"/>
    <w:rsid w:val="00DA5417"/>
    <w:rsid w:val="00DA56E8"/>
    <w:rsid w:val="00DA5ED6"/>
    <w:rsid w:val="00DB0A9F"/>
    <w:rsid w:val="00DB377D"/>
    <w:rsid w:val="00DB5C3C"/>
    <w:rsid w:val="00DC2D36"/>
    <w:rsid w:val="00DC4907"/>
    <w:rsid w:val="00DC53EF"/>
    <w:rsid w:val="00DD1C2B"/>
    <w:rsid w:val="00DE064A"/>
    <w:rsid w:val="00DE3542"/>
    <w:rsid w:val="00DE5608"/>
    <w:rsid w:val="00DE58D0"/>
    <w:rsid w:val="00DE6004"/>
    <w:rsid w:val="00DE654F"/>
    <w:rsid w:val="00DF0B6E"/>
    <w:rsid w:val="00DF15E0"/>
    <w:rsid w:val="00DF216D"/>
    <w:rsid w:val="00DF37A0"/>
    <w:rsid w:val="00E0589B"/>
    <w:rsid w:val="00E110E7"/>
    <w:rsid w:val="00E11B20"/>
    <w:rsid w:val="00E17FA2"/>
    <w:rsid w:val="00E22330"/>
    <w:rsid w:val="00E22A49"/>
    <w:rsid w:val="00E30B5A"/>
    <w:rsid w:val="00E3123D"/>
    <w:rsid w:val="00E31461"/>
    <w:rsid w:val="00E31D43"/>
    <w:rsid w:val="00E32608"/>
    <w:rsid w:val="00E34188"/>
    <w:rsid w:val="00E34B6E"/>
    <w:rsid w:val="00E35559"/>
    <w:rsid w:val="00E3723A"/>
    <w:rsid w:val="00E37860"/>
    <w:rsid w:val="00E4201A"/>
    <w:rsid w:val="00E42FA7"/>
    <w:rsid w:val="00E446F1"/>
    <w:rsid w:val="00E45A78"/>
    <w:rsid w:val="00E46886"/>
    <w:rsid w:val="00E47AEF"/>
    <w:rsid w:val="00E5118E"/>
    <w:rsid w:val="00E53B75"/>
    <w:rsid w:val="00E54E3B"/>
    <w:rsid w:val="00E57565"/>
    <w:rsid w:val="00E57B91"/>
    <w:rsid w:val="00E609C8"/>
    <w:rsid w:val="00E63838"/>
    <w:rsid w:val="00E64434"/>
    <w:rsid w:val="00E67C51"/>
    <w:rsid w:val="00E72EFC"/>
    <w:rsid w:val="00E758EC"/>
    <w:rsid w:val="00E8234C"/>
    <w:rsid w:val="00E82A5F"/>
    <w:rsid w:val="00E83AA9"/>
    <w:rsid w:val="00E85254"/>
    <w:rsid w:val="00E85928"/>
    <w:rsid w:val="00E87822"/>
    <w:rsid w:val="00E90395"/>
    <w:rsid w:val="00E90E49"/>
    <w:rsid w:val="00E917F9"/>
    <w:rsid w:val="00E9291C"/>
    <w:rsid w:val="00E93FFE"/>
    <w:rsid w:val="00E948D9"/>
    <w:rsid w:val="00E94F8A"/>
    <w:rsid w:val="00EA1747"/>
    <w:rsid w:val="00EA7A41"/>
    <w:rsid w:val="00EA7C43"/>
    <w:rsid w:val="00EB077B"/>
    <w:rsid w:val="00EB1F89"/>
    <w:rsid w:val="00EB4EA2"/>
    <w:rsid w:val="00EB611F"/>
    <w:rsid w:val="00EC24D5"/>
    <w:rsid w:val="00EC27C6"/>
    <w:rsid w:val="00EC4207"/>
    <w:rsid w:val="00EC5653"/>
    <w:rsid w:val="00EC71CE"/>
    <w:rsid w:val="00ED1006"/>
    <w:rsid w:val="00ED3065"/>
    <w:rsid w:val="00ED5991"/>
    <w:rsid w:val="00ED76C6"/>
    <w:rsid w:val="00EE473F"/>
    <w:rsid w:val="00EF18FE"/>
    <w:rsid w:val="00EF2C5F"/>
    <w:rsid w:val="00EF5787"/>
    <w:rsid w:val="00EF60D0"/>
    <w:rsid w:val="00EF64FC"/>
    <w:rsid w:val="00EF7358"/>
    <w:rsid w:val="00F01C6D"/>
    <w:rsid w:val="00F03AD8"/>
    <w:rsid w:val="00F0528D"/>
    <w:rsid w:val="00F065DA"/>
    <w:rsid w:val="00F06C67"/>
    <w:rsid w:val="00F06DFD"/>
    <w:rsid w:val="00F071D1"/>
    <w:rsid w:val="00F07533"/>
    <w:rsid w:val="00F10629"/>
    <w:rsid w:val="00F1525A"/>
    <w:rsid w:val="00F15FA5"/>
    <w:rsid w:val="00F209B7"/>
    <w:rsid w:val="00F2376F"/>
    <w:rsid w:val="00F243D8"/>
    <w:rsid w:val="00F248DC"/>
    <w:rsid w:val="00F30828"/>
    <w:rsid w:val="00F313D6"/>
    <w:rsid w:val="00F37711"/>
    <w:rsid w:val="00F37730"/>
    <w:rsid w:val="00F400FF"/>
    <w:rsid w:val="00F40F0C"/>
    <w:rsid w:val="00F4766C"/>
    <w:rsid w:val="00F5060E"/>
    <w:rsid w:val="00F507D1"/>
    <w:rsid w:val="00F50B17"/>
    <w:rsid w:val="00F519CE"/>
    <w:rsid w:val="00F51ADA"/>
    <w:rsid w:val="00F55916"/>
    <w:rsid w:val="00F60203"/>
    <w:rsid w:val="00F607C5"/>
    <w:rsid w:val="00F60DEA"/>
    <w:rsid w:val="00F61D6E"/>
    <w:rsid w:val="00F6302A"/>
    <w:rsid w:val="00F63950"/>
    <w:rsid w:val="00F64C2B"/>
    <w:rsid w:val="00F651BE"/>
    <w:rsid w:val="00F67F53"/>
    <w:rsid w:val="00F703BE"/>
    <w:rsid w:val="00F71F69"/>
    <w:rsid w:val="00F72B72"/>
    <w:rsid w:val="00F74BB9"/>
    <w:rsid w:val="00F75582"/>
    <w:rsid w:val="00F76EFA"/>
    <w:rsid w:val="00F804BE"/>
    <w:rsid w:val="00F80B55"/>
    <w:rsid w:val="00F817CE"/>
    <w:rsid w:val="00F8456C"/>
    <w:rsid w:val="00F859D8"/>
    <w:rsid w:val="00F868F5"/>
    <w:rsid w:val="00F9056A"/>
    <w:rsid w:val="00F90F8D"/>
    <w:rsid w:val="00F92782"/>
    <w:rsid w:val="00F93AA9"/>
    <w:rsid w:val="00F965CB"/>
    <w:rsid w:val="00F96985"/>
    <w:rsid w:val="00F97838"/>
    <w:rsid w:val="00FA2BB3"/>
    <w:rsid w:val="00FA480F"/>
    <w:rsid w:val="00FA4F7E"/>
    <w:rsid w:val="00FB4C80"/>
    <w:rsid w:val="00FB6A6A"/>
    <w:rsid w:val="00FC7429"/>
    <w:rsid w:val="00FD07F6"/>
    <w:rsid w:val="00FD1EC8"/>
    <w:rsid w:val="00FD3CBD"/>
    <w:rsid w:val="00FD47ED"/>
    <w:rsid w:val="00FD74DB"/>
    <w:rsid w:val="00FD7660"/>
    <w:rsid w:val="00FE0655"/>
    <w:rsid w:val="00FE1154"/>
    <w:rsid w:val="00FE2365"/>
    <w:rsid w:val="00FE37D7"/>
    <w:rsid w:val="00FE4C7B"/>
    <w:rsid w:val="00FE5C3A"/>
    <w:rsid w:val="00FE7336"/>
    <w:rsid w:val="00FE787C"/>
    <w:rsid w:val="00FF2C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basedOn w:val="Normal"/>
    <w:uiPriority w:val="39"/>
    <w:rsid w:val="00215C47"/>
    <w:pPr>
      <w:keepNext/>
      <w:keepLines/>
      <w:widowControl w:val="0"/>
      <w:tabs>
        <w:tab w:val="right" w:leader="dot" w:pos="9639"/>
      </w:tabs>
      <w:overflowPunct w:val="0"/>
      <w:autoSpaceDE w:val="0"/>
      <w:autoSpaceDN w:val="0"/>
      <w:adjustRightInd w:val="0"/>
      <w:spacing w:after="120"/>
      <w:ind w:left="1701" w:hanging="1701"/>
      <w:textAlignment w:val="baseline"/>
    </w:pPr>
    <w:rPr>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styleId="PlaceholderText">
    <w:name w:val="Placeholder Text"/>
    <w:basedOn w:val="DefaultParagraphFont"/>
    <w:uiPriority w:val="99"/>
    <w:semiHidden/>
    <w:rsid w:val="001F3A94"/>
    <w:rPr>
      <w:color w:val="808080"/>
    </w:rPr>
  </w:style>
  <w:style w:type="character" w:styleId="UnresolvedMention">
    <w:name w:val="Unresolved Mention"/>
    <w:basedOn w:val="DefaultParagraphFont"/>
    <w:uiPriority w:val="99"/>
    <w:unhideWhenUsed/>
    <w:rsid w:val="000C52D2"/>
    <w:rPr>
      <w:color w:val="605E5C"/>
      <w:shd w:val="clear" w:color="auto" w:fill="E1DFDD"/>
    </w:rPr>
  </w:style>
  <w:style w:type="character" w:styleId="Mention">
    <w:name w:val="Mention"/>
    <w:basedOn w:val="DefaultParagraphFont"/>
    <w:uiPriority w:val="99"/>
    <w:unhideWhenUsed/>
    <w:rsid w:val="000C52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47223256">
      <w:bodyDiv w:val="1"/>
      <w:marLeft w:val="0"/>
      <w:marRight w:val="0"/>
      <w:marTop w:val="0"/>
      <w:marBottom w:val="0"/>
      <w:divBdr>
        <w:top w:val="none" w:sz="0" w:space="0" w:color="auto"/>
        <w:left w:val="none" w:sz="0" w:space="0" w:color="auto"/>
        <w:bottom w:val="none" w:sz="0" w:space="0" w:color="auto"/>
        <w:right w:val="none" w:sz="0" w:space="0" w:color="auto"/>
      </w:divBdr>
    </w:div>
    <w:div w:id="580255850">
      <w:bodyDiv w:val="1"/>
      <w:marLeft w:val="0"/>
      <w:marRight w:val="0"/>
      <w:marTop w:val="0"/>
      <w:marBottom w:val="0"/>
      <w:divBdr>
        <w:top w:val="none" w:sz="0" w:space="0" w:color="auto"/>
        <w:left w:val="none" w:sz="0" w:space="0" w:color="auto"/>
        <w:bottom w:val="none" w:sz="0" w:space="0" w:color="auto"/>
        <w:right w:val="none" w:sz="0" w:space="0" w:color="auto"/>
      </w:divBdr>
      <w:divsChild>
        <w:div w:id="1270773804">
          <w:marLeft w:val="576"/>
          <w:marRight w:val="0"/>
          <w:marTop w:val="160"/>
          <w:marBottom w:val="0"/>
          <w:divBdr>
            <w:top w:val="none" w:sz="0" w:space="0" w:color="auto"/>
            <w:left w:val="none" w:sz="0" w:space="0" w:color="auto"/>
            <w:bottom w:val="none" w:sz="0" w:space="0" w:color="auto"/>
            <w:right w:val="none" w:sz="0" w:space="0" w:color="auto"/>
          </w:divBdr>
        </w:div>
        <w:div w:id="840394031">
          <w:marLeft w:val="576"/>
          <w:marRight w:val="0"/>
          <w:marTop w:val="160"/>
          <w:marBottom w:val="0"/>
          <w:divBdr>
            <w:top w:val="none" w:sz="0" w:space="0" w:color="auto"/>
            <w:left w:val="none" w:sz="0" w:space="0" w:color="auto"/>
            <w:bottom w:val="none" w:sz="0" w:space="0" w:color="auto"/>
            <w:right w:val="none" w:sz="0" w:space="0" w:color="auto"/>
          </w:divBdr>
        </w:div>
        <w:div w:id="2090542512">
          <w:marLeft w:val="576"/>
          <w:marRight w:val="0"/>
          <w:marTop w:val="160"/>
          <w:marBottom w:val="0"/>
          <w:divBdr>
            <w:top w:val="none" w:sz="0" w:space="0" w:color="auto"/>
            <w:left w:val="none" w:sz="0" w:space="0" w:color="auto"/>
            <w:bottom w:val="none" w:sz="0" w:space="0" w:color="auto"/>
            <w:right w:val="none" w:sz="0" w:space="0" w:color="auto"/>
          </w:divBdr>
        </w:div>
        <w:div w:id="39980622">
          <w:marLeft w:val="850"/>
          <w:marRight w:val="0"/>
          <w:marTop w:val="160"/>
          <w:marBottom w:val="0"/>
          <w:divBdr>
            <w:top w:val="none" w:sz="0" w:space="0" w:color="auto"/>
            <w:left w:val="none" w:sz="0" w:space="0" w:color="auto"/>
            <w:bottom w:val="none" w:sz="0" w:space="0" w:color="auto"/>
            <w:right w:val="none" w:sz="0" w:space="0" w:color="auto"/>
          </w:divBdr>
        </w:div>
        <w:div w:id="2019624257">
          <w:marLeft w:val="850"/>
          <w:marRight w:val="0"/>
          <w:marTop w:val="160"/>
          <w:marBottom w:val="0"/>
          <w:divBdr>
            <w:top w:val="none" w:sz="0" w:space="0" w:color="auto"/>
            <w:left w:val="none" w:sz="0" w:space="0" w:color="auto"/>
            <w:bottom w:val="none" w:sz="0" w:space="0" w:color="auto"/>
            <w:right w:val="none" w:sz="0" w:space="0" w:color="auto"/>
          </w:divBdr>
        </w:div>
      </w:divsChild>
    </w:div>
    <w:div w:id="58138009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 w:id="198327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DE65C9C-A06A-401A-A87D-7AEB32BEE9D0}"/>
</file>

<file path=docProps/app.xml><?xml version="1.0" encoding="utf-8"?>
<Properties xmlns="http://schemas.openxmlformats.org/officeDocument/2006/extended-properties" xmlns:vt="http://schemas.openxmlformats.org/officeDocument/2006/docPropsVTypes">
  <Template>Normal.dotm</Template>
  <TotalTime>8615</TotalTime>
  <Pages>3</Pages>
  <Words>1127</Words>
  <Characters>5490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194</cp:revision>
  <cp:lastPrinted>2008-01-31T07:09:00Z</cp:lastPrinted>
  <dcterms:created xsi:type="dcterms:W3CDTF">2020-08-29T07:51:00Z</dcterms:created>
  <dcterms:modified xsi:type="dcterms:W3CDTF">2021-05-11T21:59:00Z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3f7c21a2-2745-4fd4-80e4-bf49bce35f23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5NUHHDQN7SK2-1476151046-500320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https://ericsson.sharepoint.com/sites/star/_layouts/15/DocIdRedir.aspx?ID=5NUHHDQN7SK2-1476151046-500320, 5NUHHDQN7SK2-1476151046-500320</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ies>
</file>